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5168" w:type="dxa"/>
        <w:tblInd w:w="-34" w:type="dxa"/>
        <w:tblLayout w:type="autofit"/>
        <w:tblCellMar>
          <w:top w:w="0" w:type="dxa"/>
          <w:left w:w="108" w:type="dxa"/>
          <w:bottom w:w="0" w:type="dxa"/>
          <w:right w:w="108" w:type="dxa"/>
        </w:tblCellMar>
      </w:tblPr>
      <w:tblGrid>
        <w:gridCol w:w="9640"/>
        <w:gridCol w:w="5528"/>
      </w:tblGrid>
      <w:tr>
        <w:tblPrEx>
          <w:tblCellMar>
            <w:top w:w="0" w:type="dxa"/>
            <w:left w:w="108" w:type="dxa"/>
            <w:bottom w:w="0" w:type="dxa"/>
            <w:right w:w="108" w:type="dxa"/>
          </w:tblCellMar>
        </w:tblPrEx>
        <w:tc>
          <w:tcPr>
            <w:tcW w:w="9640" w:type="dxa"/>
          </w:tcPr>
          <w:p>
            <w:pPr>
              <w:spacing w:after="120" w:line="360" w:lineRule="auto"/>
              <w:jc w:val="center"/>
              <w:rPr>
                <w:rFonts w:cs="Times New Roman"/>
                <w:szCs w:val="28"/>
              </w:rPr>
            </w:pPr>
            <w:bookmarkStart w:id="0" w:name="_GoBack"/>
            <w:bookmarkEnd w:id="0"/>
            <w:r>
              <w:rPr>
                <w:rFonts w:cs="Times New Roman"/>
                <w:szCs w:val="28"/>
              </w:rPr>
              <w:t>VIỆN KHOA HỌC ĐỊA CHẤT VÀ KHOÁNG SẢN</w:t>
            </w:r>
          </w:p>
          <w:p>
            <w:pPr>
              <w:spacing w:after="120" w:line="360" w:lineRule="auto"/>
              <w:jc w:val="center"/>
              <w:rPr>
                <w:rFonts w:cs="Times New Roman"/>
                <w:b/>
                <w:bCs/>
                <w:szCs w:val="28"/>
              </w:rPr>
            </w:pPr>
            <w:r>
              <w:rPr>
                <w:rFonts w:cs="Times New Roman"/>
                <w:b/>
                <w:bCs/>
                <w:szCs w:val="28"/>
              </w:rPr>
              <w:t>PHÒNG ĐỊA CHẤT KINH TẾ VÀ ĐỊA TIN HỌC</w:t>
            </w:r>
          </w:p>
          <w:p>
            <w:pPr>
              <w:spacing w:after="120" w:line="360" w:lineRule="auto"/>
              <w:jc w:val="center"/>
              <w:rPr>
                <w:rFonts w:cs="Times New Roman"/>
                <w:szCs w:val="28"/>
              </w:rPr>
            </w:pPr>
            <w:r>
              <w:rPr>
                <w:rFonts w:cs="Times New Roman"/>
                <w:szCs w:val="28"/>
              </w:rPr>
              <mc:AlternateContent>
                <mc:Choice Requires="wps">
                  <w:drawing>
                    <wp:anchor distT="0" distB="0" distL="114300" distR="114300" simplePos="0" relativeHeight="251659264" behindDoc="0" locked="0" layoutInCell="1" allowOverlap="1">
                      <wp:simplePos x="0" y="0"/>
                      <wp:positionH relativeFrom="column">
                        <wp:posOffset>2334895</wp:posOffset>
                      </wp:positionH>
                      <wp:positionV relativeFrom="paragraph">
                        <wp:posOffset>82550</wp:posOffset>
                      </wp:positionV>
                      <wp:extent cx="1838325" cy="0"/>
                      <wp:effectExtent l="0" t="0" r="0" b="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83.85pt;margin-top:6.5pt;height:0pt;width:144.75pt;z-index:251659264;mso-width-relative:page;mso-height-relative:page;" filled="f" stroked="t" coordsize="21600,21600" o:gfxdata="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yu/5yNcAAAAJAQAADwAAAAAAAAAB&#10;ACAAAAAiAAAAZHJzL2Rvd25yZXYueG1sUEsBAhQAFAAAAAgAh07iQB1e+xLYAQAAwwMAAA4AAAAA&#10;AAAAAQAgAAAAJgEAAGRycy9lMm9Eb2MueG1sUEsFBgAAAAAGAAYAWQEAAHAFAAAAAA==&#10;">
                      <v:fill on="f" focussize="0,0"/>
                      <v:stroke color="#000000" joinstyle="round"/>
                      <v:imagedata o:title=""/>
                      <o:lock v:ext="edit" aspectratio="f"/>
                    </v:shape>
                  </w:pict>
                </mc:Fallback>
              </mc:AlternateContent>
            </w:r>
          </w:p>
        </w:tc>
        <w:tc>
          <w:tcPr>
            <w:tcW w:w="5528" w:type="dxa"/>
          </w:tcPr>
          <w:p>
            <w:pPr>
              <w:spacing w:after="120" w:line="360" w:lineRule="auto"/>
              <w:jc w:val="center"/>
              <w:rPr>
                <w:rFonts w:cs="Times New Roman"/>
                <w:i/>
                <w:szCs w:val="28"/>
              </w:rPr>
            </w:pPr>
          </w:p>
        </w:tc>
      </w:tr>
    </w:tbl>
    <w:p>
      <w:pPr>
        <w:spacing w:after="120" w:line="360" w:lineRule="auto"/>
        <w:jc w:val="center"/>
        <w:rPr>
          <w:rFonts w:cs="Times New Roman"/>
          <w:b/>
          <w:szCs w:val="28"/>
        </w:rPr>
      </w:pPr>
    </w:p>
    <w:p>
      <w:pPr>
        <w:spacing w:after="120" w:line="360" w:lineRule="auto"/>
        <w:jc w:val="center"/>
        <w:rPr>
          <w:rFonts w:cs="Times New Roman"/>
          <w:b/>
          <w:szCs w:val="28"/>
        </w:rPr>
      </w:pPr>
    </w:p>
    <w:p>
      <w:pPr>
        <w:spacing w:after="120" w:line="360" w:lineRule="auto"/>
        <w:jc w:val="center"/>
        <w:rPr>
          <w:rFonts w:cs="Times New Roman"/>
          <w:b/>
          <w:szCs w:val="28"/>
        </w:rPr>
      </w:pPr>
    </w:p>
    <w:p>
      <w:pPr>
        <w:spacing w:after="120" w:line="360" w:lineRule="auto"/>
        <w:jc w:val="center"/>
        <w:rPr>
          <w:rFonts w:cs="Times New Roman"/>
          <w:b/>
          <w:szCs w:val="28"/>
        </w:rPr>
      </w:pPr>
    </w:p>
    <w:p>
      <w:pPr>
        <w:spacing w:after="120" w:line="360" w:lineRule="auto"/>
        <w:jc w:val="center"/>
        <w:rPr>
          <w:rFonts w:cs="Times New Roman"/>
          <w:b/>
          <w:szCs w:val="28"/>
        </w:rPr>
      </w:pPr>
    </w:p>
    <w:p>
      <w:pPr>
        <w:spacing w:after="120" w:line="360" w:lineRule="auto"/>
        <w:jc w:val="center"/>
        <w:rPr>
          <w:rFonts w:cs="Times New Roman"/>
          <w:b/>
          <w:szCs w:val="28"/>
        </w:rPr>
      </w:pPr>
    </w:p>
    <w:p>
      <w:pPr>
        <w:spacing w:after="120" w:line="360" w:lineRule="auto"/>
        <w:jc w:val="center"/>
        <w:rPr>
          <w:rFonts w:cs="Times New Roman"/>
          <w:b/>
          <w:szCs w:val="28"/>
        </w:rPr>
      </w:pPr>
    </w:p>
    <w:p>
      <w:pPr>
        <w:spacing w:after="120" w:line="360" w:lineRule="auto"/>
        <w:jc w:val="center"/>
        <w:rPr>
          <w:rFonts w:cs="Times New Roman"/>
          <w:b/>
          <w:szCs w:val="28"/>
        </w:rPr>
      </w:pPr>
      <w:r>
        <w:rPr>
          <w:rFonts w:cs="Times New Roman"/>
          <w:b/>
          <w:szCs w:val="28"/>
        </w:rPr>
        <w:t>BÁO CÁO KẾT QUẢ THỰC HIỆN NHIỆM VỤ THƯỜNG XUYÊN</w:t>
      </w:r>
    </w:p>
    <w:p>
      <w:pPr>
        <w:tabs>
          <w:tab w:val="left" w:pos="3801"/>
          <w:tab w:val="center" w:pos="4658"/>
        </w:tabs>
        <w:spacing w:after="120" w:line="360" w:lineRule="auto"/>
        <w:jc w:val="center"/>
        <w:rPr>
          <w:rFonts w:cs="Times New Roman"/>
          <w:b/>
          <w:szCs w:val="28"/>
        </w:rPr>
      </w:pPr>
      <w:r>
        <w:rPr>
          <w:rFonts w:cs="Times New Roman"/>
          <w:b/>
          <w:szCs w:val="28"/>
        </w:rPr>
        <w:t>BẢN TIN THÁNG 2-2023</w:t>
      </w:r>
    </w:p>
    <w:p>
      <w:pPr>
        <w:spacing w:after="120" w:line="360" w:lineRule="auto"/>
        <w:jc w:val="center"/>
        <w:rPr>
          <w:rFonts w:cs="Times New Roman"/>
          <w:b/>
          <w:szCs w:val="28"/>
        </w:rPr>
      </w:pPr>
    </w:p>
    <w:p>
      <w:pPr>
        <w:pBdr>
          <w:bottom w:val="single" w:color="F4F4F4" w:sz="12" w:space="4"/>
        </w:pBdr>
        <w:shd w:val="clear" w:color="auto" w:fill="FFFFFF"/>
        <w:spacing w:after="120" w:line="360" w:lineRule="auto"/>
        <w:jc w:val="center"/>
        <w:rPr>
          <w:rFonts w:eastAsia="Times New Roman" w:cs="Times New Roman"/>
          <w:b/>
          <w:bCs/>
          <w:szCs w:val="28"/>
        </w:rPr>
      </w:pPr>
      <w:r>
        <w:rPr>
          <w:rFonts w:cs="Times New Roman"/>
          <w:b/>
          <w:szCs w:val="28"/>
        </w:rPr>
        <w:t xml:space="preserve">Nhiệm vụ: </w:t>
      </w:r>
      <w:r>
        <w:rPr>
          <w:rFonts w:cs="Times New Roman"/>
          <w:spacing w:val="3"/>
          <w:szCs w:val="28"/>
        </w:rPr>
        <w:t xml:space="preserve">Xây dựng Bản tin kinh tế trên trang thông tin của Viện, tháng 02 – 2023, nội dung: </w:t>
      </w:r>
      <w:r>
        <w:rPr>
          <w:rFonts w:cs="Times New Roman"/>
          <w:b/>
          <w:i/>
          <w:spacing w:val="3"/>
          <w:szCs w:val="28"/>
        </w:rPr>
        <w:t>“Diễn biến của thị trường kim loại Vàng trên thế giới”</w:t>
      </w:r>
      <w:r>
        <w:rPr>
          <w:rFonts w:cs="Times New Roman"/>
          <w:b/>
          <w:spacing w:val="3"/>
          <w:szCs w:val="28"/>
        </w:rPr>
        <w:t>.</w:t>
      </w:r>
    </w:p>
    <w:p>
      <w:pPr>
        <w:spacing w:after="120" w:line="360" w:lineRule="auto"/>
        <w:jc w:val="both"/>
        <w:rPr>
          <w:rFonts w:eastAsia="Times New Roman" w:cs="Times New Roman"/>
          <w:b/>
          <w:bCs/>
          <w:kern w:val="36"/>
          <w:szCs w:val="28"/>
        </w:rPr>
      </w:pPr>
      <w:r>
        <w:rPr>
          <w:rFonts w:eastAsia="Times New Roman" w:cs="Times New Roman"/>
          <w:b/>
          <w:bCs/>
          <w:kern w:val="36"/>
          <w:szCs w:val="28"/>
        </w:rPr>
        <w:br w:type="page"/>
      </w:r>
    </w:p>
    <w:p>
      <w:pPr>
        <w:shd w:val="clear" w:color="auto" w:fill="FFFFFF"/>
        <w:spacing w:after="120" w:line="360" w:lineRule="auto"/>
        <w:ind w:firstLine="360"/>
        <w:jc w:val="both"/>
        <w:textAlignment w:val="baseline"/>
        <w:rPr>
          <w:rFonts w:eastAsia="Times New Roman" w:cs="Times New Roman"/>
          <w:b/>
          <w:bCs/>
          <w:i/>
          <w:szCs w:val="28"/>
        </w:rPr>
      </w:pPr>
      <w:r>
        <w:rPr>
          <w:rFonts w:eastAsia="Times New Roman" w:cs="Times New Roman"/>
          <w:b/>
          <w:bCs/>
          <w:i/>
          <w:szCs w:val="28"/>
        </w:rPr>
        <w:t>Biến động giá vàng thế giới</w:t>
      </w:r>
    </w:p>
    <w:p>
      <w:pPr>
        <w:shd w:val="clear" w:color="auto" w:fill="FFFFFF"/>
        <w:spacing w:after="120" w:line="360" w:lineRule="auto"/>
        <w:ind w:firstLine="360"/>
        <w:jc w:val="both"/>
        <w:textAlignment w:val="baseline"/>
        <w:rPr>
          <w:rFonts w:cs="Times New Roman"/>
          <w:szCs w:val="28"/>
          <w:shd w:val="clear" w:color="auto" w:fill="FFFFFF"/>
        </w:rPr>
      </w:pPr>
      <w:r>
        <w:rPr>
          <w:rFonts w:cs="Times New Roman"/>
          <w:szCs w:val="28"/>
          <w:shd w:val="clear" w:color="auto" w:fill="FFFFFF"/>
        </w:rPr>
        <w:t>Từ xa xưa, vàng đã trở thành một trong những kim loại vô cùng có giá trị, thậm chí từng trở thành đơn vị tiền tệ trong lịch sử. Tại các quốc gia, các giao dịch liên quan đến vàng đã diễn ra từ rất sớm.</w:t>
      </w:r>
    </w:p>
    <w:p>
      <w:pPr>
        <w:shd w:val="clear" w:color="auto" w:fill="FFFFFF"/>
        <w:spacing w:after="120" w:line="360" w:lineRule="auto"/>
        <w:ind w:firstLine="360"/>
        <w:jc w:val="both"/>
        <w:textAlignment w:val="baseline"/>
        <w:rPr>
          <w:rFonts w:eastAsia="Times New Roman" w:cs="Times New Roman"/>
          <w:iCs/>
          <w:szCs w:val="28"/>
        </w:rPr>
      </w:pPr>
      <w:r>
        <w:rPr>
          <w:rFonts w:cs="Times New Roman"/>
          <w:szCs w:val="28"/>
          <w:shd w:val="clear" w:color="auto" w:fill="FFFFFF"/>
        </w:rPr>
        <w:t>Vào tháng 8 năm 2020, giá vàng tăng lên mức cao nhất mọi thời đại là 2.072,85 USD; vượt qua mức cao kỷ lục trước đó là 1.924,77 đô la mà nó đạt được chín năm trước. Với sự sụt giảm sau đó, vùng giá tâm lý quan trọng 2.000 đô la vẫn chưa trở lại. Tuy nhiên, nó vẫn ở mức trên 1.600 đô la kể từ khi vượt lên trên đỉnh điểm của đại dịch coronavirus vào tháng 4 năm 2020.</w:t>
      </w:r>
    </w:p>
    <w:p>
      <w:pPr>
        <w:shd w:val="clear" w:color="auto" w:fill="FFFFFF"/>
        <w:spacing w:after="120" w:line="360" w:lineRule="auto"/>
        <w:ind w:firstLine="360"/>
        <w:jc w:val="both"/>
        <w:textAlignment w:val="baseline"/>
        <w:rPr>
          <w:rFonts w:eastAsia="Times New Roman" w:cs="Times New Roman"/>
          <w:iCs/>
          <w:szCs w:val="28"/>
        </w:rPr>
      </w:pPr>
      <w:r>
        <w:rPr>
          <w:rFonts w:eastAsia="Times New Roman" w:cs="Times New Roman"/>
          <w:iCs/>
          <w:szCs w:val="28"/>
        </w:rPr>
        <w:t>Biến động giá vàng trên thế giới và biến động trong nước được thể hiện hình 1 và bảng 1.</w:t>
      </w:r>
    </w:p>
    <w:p>
      <w:pPr>
        <w:shd w:val="clear" w:color="auto" w:fill="FFFFFF"/>
        <w:spacing w:after="120" w:line="360" w:lineRule="auto"/>
        <w:ind w:firstLine="360"/>
        <w:jc w:val="both"/>
        <w:textAlignment w:val="baseline"/>
        <w:rPr>
          <w:rFonts w:eastAsia="Times New Roman" w:cs="Times New Roman"/>
          <w:iCs/>
          <w:szCs w:val="28"/>
        </w:rPr>
      </w:pPr>
      <w:r>
        <w:rPr>
          <w:rFonts w:eastAsia="Times New Roman" w:cs="Times New Roman"/>
          <w:iCs/>
          <w:szCs w:val="28"/>
        </w:rPr>
        <w:t>Hình 1: Biểu đồ giá vàng từ 2010 – 2022</w:t>
      </w:r>
    </w:p>
    <w:p>
      <w:pPr>
        <w:shd w:val="clear" w:color="auto" w:fill="FFFFFF"/>
        <w:spacing w:after="120" w:line="360" w:lineRule="auto"/>
        <w:ind w:firstLine="360"/>
        <w:jc w:val="both"/>
        <w:textAlignment w:val="baseline"/>
        <w:rPr>
          <w:rFonts w:eastAsia="Times New Roman" w:cs="Times New Roman"/>
          <w:iCs/>
          <w:szCs w:val="28"/>
        </w:rPr>
      </w:pPr>
    </w:p>
    <w:p>
      <w:pPr>
        <w:shd w:val="clear" w:color="auto" w:fill="FFFFFF"/>
        <w:spacing w:after="120" w:line="360" w:lineRule="auto"/>
        <w:ind w:hanging="426"/>
        <w:jc w:val="center"/>
        <w:textAlignment w:val="baseline"/>
        <w:rPr>
          <w:rFonts w:eastAsia="Times New Roman" w:cs="Times New Roman"/>
          <w:iCs/>
          <w:szCs w:val="28"/>
        </w:rPr>
      </w:pPr>
      <w:r>
        <w:rPr>
          <w:rFonts w:eastAsia="Times New Roman" w:cs="Times New Roman"/>
          <w:iCs/>
          <w:szCs w:val="28"/>
        </w:rPr>
        <w:drawing>
          <wp:inline distT="0" distB="0" distL="0" distR="0">
            <wp:extent cx="6135370" cy="29330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6140947" cy="2935768"/>
                    </a:xfrm>
                    <a:prstGeom prst="rect">
                      <a:avLst/>
                    </a:prstGeom>
                  </pic:spPr>
                </pic:pic>
              </a:graphicData>
            </a:graphic>
          </wp:inline>
        </w:drawing>
      </w:r>
    </w:p>
    <w:p>
      <w:pPr>
        <w:shd w:val="clear" w:color="auto" w:fill="FFFFFF"/>
        <w:spacing w:after="120" w:line="360" w:lineRule="auto"/>
        <w:jc w:val="both"/>
        <w:textAlignment w:val="baseline"/>
        <w:rPr>
          <w:rFonts w:eastAsia="Times New Roman" w:cs="Times New Roman"/>
          <w:i/>
          <w:szCs w:val="28"/>
        </w:rPr>
      </w:pPr>
      <w:r>
        <w:rPr>
          <w:rFonts w:eastAsia="Times New Roman" w:cs="Times New Roman"/>
          <w:i/>
          <w:szCs w:val="28"/>
        </w:rPr>
        <w:t>(nguồn: tradingview.com)</w:t>
      </w:r>
    </w:p>
    <w:p>
      <w:pPr>
        <w:shd w:val="clear" w:color="auto" w:fill="FFFFFF"/>
        <w:spacing w:after="120" w:line="360" w:lineRule="auto"/>
        <w:jc w:val="both"/>
        <w:outlineLvl w:val="0"/>
        <w:rPr>
          <w:rFonts w:eastAsia="Times New Roman" w:cs="Times New Roman"/>
          <w:i/>
          <w:iCs/>
          <w:kern w:val="36"/>
          <w:szCs w:val="28"/>
        </w:rPr>
      </w:pPr>
    </w:p>
    <w:p>
      <w:pPr>
        <w:spacing w:after="120" w:line="360" w:lineRule="auto"/>
        <w:rPr>
          <w:rFonts w:eastAsia="Times New Roman" w:cs="Times New Roman"/>
          <w:b/>
          <w:bCs/>
          <w:i/>
          <w:szCs w:val="28"/>
        </w:rPr>
      </w:pPr>
      <w:r>
        <w:rPr>
          <w:rFonts w:eastAsia="Times New Roman" w:cs="Times New Roman"/>
          <w:b/>
          <w:bCs/>
          <w:i/>
          <w:szCs w:val="28"/>
        </w:rPr>
        <w:br w:type="page"/>
      </w:r>
    </w:p>
    <w:p>
      <w:pPr>
        <w:shd w:val="clear" w:color="auto" w:fill="FFFFFF"/>
        <w:spacing w:after="120" w:line="360" w:lineRule="auto"/>
        <w:ind w:firstLine="360"/>
        <w:jc w:val="both"/>
        <w:textAlignment w:val="baseline"/>
        <w:rPr>
          <w:rFonts w:eastAsia="Times New Roman" w:cs="Times New Roman"/>
          <w:b/>
          <w:bCs/>
          <w:i/>
          <w:szCs w:val="28"/>
        </w:rPr>
      </w:pPr>
      <w:r>
        <w:rPr>
          <w:rFonts w:eastAsia="Times New Roman" w:cs="Times New Roman"/>
          <w:b/>
          <w:bCs/>
          <w:i/>
          <w:szCs w:val="28"/>
        </w:rPr>
        <w:t>Biến động giá vàng trong nước</w:t>
      </w:r>
    </w:p>
    <w:p>
      <w:pPr>
        <w:shd w:val="clear" w:color="auto" w:fill="FFFFFF"/>
        <w:spacing w:after="120" w:line="360" w:lineRule="auto"/>
        <w:jc w:val="both"/>
        <w:outlineLvl w:val="0"/>
        <w:rPr>
          <w:rFonts w:eastAsia="Times New Roman" w:cs="Times New Roman"/>
          <w:i/>
          <w:iCs/>
          <w:kern w:val="36"/>
          <w:szCs w:val="28"/>
        </w:rPr>
      </w:pPr>
      <w:r>
        <w:rPr>
          <w:rFonts w:eastAsia="Times New Roman" w:cs="Times New Roman"/>
          <w:i/>
          <w:iCs/>
          <w:kern w:val="36"/>
          <w:szCs w:val="28"/>
        </w:rPr>
        <w:t>Bảng 1. Thống kê giá vàng Việt Nam qua các năm (2010-2022)</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Layout w:type="autofit"/>
        <w:tblCellMar>
          <w:top w:w="15" w:type="dxa"/>
          <w:left w:w="15" w:type="dxa"/>
          <w:bottom w:w="15" w:type="dxa"/>
          <w:right w:w="15" w:type="dxa"/>
        </w:tblCellMar>
      </w:tblPr>
      <w:tblGrid>
        <w:gridCol w:w="2625"/>
        <w:gridCol w:w="262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225" w:type="dxa"/>
              <w:left w:w="150" w:type="dxa"/>
              <w:bottom w:w="225" w:type="dxa"/>
              <w:right w:w="150" w:type="dxa"/>
            </w:tcMar>
            <w:vAlign w:val="center"/>
          </w:tcPr>
          <w:p>
            <w:pPr>
              <w:spacing w:after="120" w:line="360" w:lineRule="auto"/>
              <w:jc w:val="center"/>
              <w:rPr>
                <w:rFonts w:cs="Times New Roman"/>
                <w:b/>
                <w:szCs w:val="28"/>
              </w:rPr>
            </w:pPr>
            <w:r>
              <w:rPr>
                <w:rFonts w:cs="Times New Roman"/>
                <w:b/>
                <w:szCs w:val="28"/>
              </w:rPr>
              <w:t>Thời gian</w:t>
            </w:r>
          </w:p>
        </w:tc>
        <w:tc>
          <w:tcPr>
            <w:tcW w:w="2625" w:type="dxa"/>
            <w:shd w:val="clear" w:color="auto" w:fill="F4F4F4"/>
            <w:tcMar>
              <w:top w:w="225" w:type="dxa"/>
              <w:left w:w="150" w:type="dxa"/>
              <w:bottom w:w="225" w:type="dxa"/>
              <w:right w:w="150" w:type="dxa"/>
            </w:tcMar>
            <w:vAlign w:val="center"/>
          </w:tcPr>
          <w:p>
            <w:pPr>
              <w:spacing w:after="120" w:line="360" w:lineRule="auto"/>
              <w:jc w:val="center"/>
              <w:rPr>
                <w:rFonts w:cs="Times New Roman"/>
                <w:b/>
                <w:szCs w:val="28"/>
              </w:rPr>
            </w:pPr>
            <w:r>
              <w:rPr>
                <w:rFonts w:cs="Times New Roman"/>
                <w:b/>
                <w:szCs w:val="28"/>
              </w:rPr>
              <w:t>Giá mua</w:t>
            </w:r>
          </w:p>
          <w:p>
            <w:pPr>
              <w:spacing w:after="120" w:line="360" w:lineRule="auto"/>
              <w:jc w:val="center"/>
              <w:rPr>
                <w:rFonts w:cs="Times New Roman"/>
                <w:b/>
                <w:i/>
                <w:szCs w:val="28"/>
              </w:rPr>
            </w:pPr>
            <w:r>
              <w:rPr>
                <w:rFonts w:eastAsia="Times New Roman" w:cs="Times New Roman"/>
                <w:i/>
                <w:szCs w:val="28"/>
              </w:rPr>
              <w:t>(triệu đồng/lượng)</w:t>
            </w:r>
          </w:p>
        </w:tc>
        <w:tc>
          <w:tcPr>
            <w:tcW w:w="2625" w:type="dxa"/>
            <w:shd w:val="clear" w:color="auto" w:fill="F4F4F4"/>
            <w:tcMar>
              <w:top w:w="225" w:type="dxa"/>
              <w:left w:w="150" w:type="dxa"/>
              <w:bottom w:w="225" w:type="dxa"/>
              <w:right w:w="150" w:type="dxa"/>
            </w:tcMar>
            <w:vAlign w:val="center"/>
          </w:tcPr>
          <w:p>
            <w:pPr>
              <w:spacing w:after="120" w:line="360" w:lineRule="auto"/>
              <w:jc w:val="center"/>
              <w:rPr>
                <w:rFonts w:cs="Times New Roman"/>
                <w:b/>
                <w:szCs w:val="28"/>
              </w:rPr>
            </w:pPr>
            <w:r>
              <w:rPr>
                <w:rFonts w:cs="Times New Roman"/>
                <w:b/>
                <w:szCs w:val="28"/>
              </w:rPr>
              <w:t>Giá bán</w:t>
            </w:r>
          </w:p>
          <w:p>
            <w:pPr>
              <w:spacing w:after="120" w:line="360" w:lineRule="auto"/>
              <w:jc w:val="center"/>
              <w:rPr>
                <w:rFonts w:cs="Times New Roman"/>
                <w:b/>
                <w:szCs w:val="28"/>
              </w:rPr>
            </w:pPr>
            <w:r>
              <w:rPr>
                <w:rFonts w:eastAsia="Times New Roman" w:cs="Times New Roman"/>
                <w:i/>
                <w:szCs w:val="28"/>
              </w:rPr>
              <w:t>(triệu đồng/lượng)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36.000.000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36.100.000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31/12/2011</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42.380.000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42.680.000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31/12/2012</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46.230.000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46.370.000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31/12/2013</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34.700.000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34.780.000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31/12/2014</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34.900.000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35.150.000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31/12/2015</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32.200.000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32.720.000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31/12/2016</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36.100.000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36.300.000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31/12/2017</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36.570.000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31/12/2018</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36.330.000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36.550.000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31/12/2019</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42.250.000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42.750.000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31/12/2020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55.500.000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56.050.000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31/12/2021</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60.950.000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61.650.000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4F4F4"/>
          <w:tblCellMar>
            <w:top w:w="15" w:type="dxa"/>
            <w:left w:w="15" w:type="dxa"/>
            <w:bottom w:w="15" w:type="dxa"/>
            <w:right w:w="15" w:type="dxa"/>
          </w:tblCellMar>
        </w:tblPrEx>
        <w:trPr>
          <w:jc w:val="center"/>
        </w:trPr>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31/12/2022</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65.900.000</w:t>
            </w:r>
          </w:p>
        </w:tc>
        <w:tc>
          <w:tcPr>
            <w:tcW w:w="2625" w:type="dxa"/>
            <w:shd w:val="clear" w:color="auto" w:fill="F4F4F4"/>
            <w:tcMar>
              <w:top w:w="150" w:type="dxa"/>
              <w:left w:w="150" w:type="dxa"/>
              <w:bottom w:w="150" w:type="dxa"/>
              <w:right w:w="150" w:type="dxa"/>
            </w:tcMar>
            <w:vAlign w:val="center"/>
          </w:tcPr>
          <w:p>
            <w:pPr>
              <w:spacing w:after="120" w:line="360" w:lineRule="auto"/>
              <w:jc w:val="center"/>
              <w:rPr>
                <w:rFonts w:cs="Times New Roman"/>
                <w:szCs w:val="28"/>
              </w:rPr>
            </w:pPr>
            <w:r>
              <w:rPr>
                <w:rFonts w:cs="Times New Roman"/>
                <w:szCs w:val="28"/>
              </w:rPr>
              <w:t>66.720.000</w:t>
            </w:r>
          </w:p>
        </w:tc>
      </w:tr>
    </w:tbl>
    <w:p>
      <w:pPr>
        <w:shd w:val="clear" w:color="auto" w:fill="FFFFFF"/>
        <w:spacing w:after="120" w:line="360" w:lineRule="auto"/>
        <w:ind w:firstLine="720"/>
        <w:jc w:val="both"/>
        <w:outlineLvl w:val="0"/>
        <w:rPr>
          <w:rFonts w:eastAsia="Times New Roman" w:cs="Times New Roman"/>
          <w:i/>
          <w:iCs/>
          <w:kern w:val="36"/>
          <w:szCs w:val="28"/>
        </w:rPr>
      </w:pPr>
      <w:r>
        <w:rPr>
          <w:rFonts w:eastAsia="Times New Roman" w:cs="Times New Roman"/>
          <w:i/>
          <w:iCs/>
          <w:kern w:val="36"/>
          <w:szCs w:val="28"/>
        </w:rPr>
        <w:t>(Nguồn: https://thebank.vn/)</w:t>
      </w:r>
    </w:p>
    <w:p>
      <w:pPr>
        <w:shd w:val="clear" w:color="auto" w:fill="FFFFFF"/>
        <w:spacing w:after="120" w:line="360" w:lineRule="auto"/>
        <w:jc w:val="both"/>
        <w:rPr>
          <w:rFonts w:eastAsia="Times New Roman" w:cs="Times New Roman"/>
          <w:szCs w:val="28"/>
        </w:rPr>
      </w:pPr>
      <w:r>
        <w:rPr>
          <w:rFonts w:eastAsia="Times New Roman" w:cs="Times New Roman"/>
          <w:szCs w:val="28"/>
        </w:rPr>
        <w:t>Có thể thấy trong 10 năm qua, giá vàng trong nước có xu hướng tăng lên với 3 lần biến động mạnh mẽ:</w:t>
      </w:r>
    </w:p>
    <w:p>
      <w:pPr>
        <w:numPr>
          <w:ilvl w:val="0"/>
          <w:numId w:val="1"/>
        </w:numPr>
        <w:shd w:val="clear" w:color="auto" w:fill="FFFFFF"/>
        <w:spacing w:after="120" w:line="360" w:lineRule="auto"/>
        <w:ind w:right="300"/>
        <w:jc w:val="both"/>
        <w:rPr>
          <w:rFonts w:eastAsia="Times New Roman" w:cs="Times New Roman"/>
          <w:szCs w:val="28"/>
        </w:rPr>
      </w:pPr>
      <w:r>
        <w:rPr>
          <w:rFonts w:eastAsia="Times New Roman" w:cs="Times New Roman"/>
          <w:szCs w:val="28"/>
        </w:rPr>
        <w:t>Cơn sốt vàng giai đoạn năm 2011</w:t>
      </w:r>
    </w:p>
    <w:p>
      <w:pPr>
        <w:numPr>
          <w:ilvl w:val="0"/>
          <w:numId w:val="1"/>
        </w:numPr>
        <w:shd w:val="clear" w:color="auto" w:fill="FFFFFF"/>
        <w:spacing w:after="120" w:line="360" w:lineRule="auto"/>
        <w:ind w:right="300"/>
        <w:jc w:val="both"/>
        <w:rPr>
          <w:rFonts w:eastAsia="Times New Roman" w:cs="Times New Roman"/>
          <w:szCs w:val="28"/>
        </w:rPr>
      </w:pPr>
      <w:r>
        <w:rPr>
          <w:rFonts w:eastAsia="Times New Roman" w:cs="Times New Roman"/>
          <w:szCs w:val="28"/>
        </w:rPr>
        <w:t>Sự ảm đạm về bức tranh giá vàng giai đoạn 2012 - 2013</w:t>
      </w:r>
    </w:p>
    <w:p>
      <w:pPr>
        <w:numPr>
          <w:ilvl w:val="0"/>
          <w:numId w:val="1"/>
        </w:numPr>
        <w:shd w:val="clear" w:color="auto" w:fill="FFFFFF"/>
        <w:spacing w:after="120" w:line="360" w:lineRule="auto"/>
        <w:ind w:right="300"/>
        <w:jc w:val="both"/>
        <w:rPr>
          <w:rFonts w:eastAsia="Times New Roman" w:cs="Times New Roman"/>
          <w:szCs w:val="28"/>
        </w:rPr>
      </w:pPr>
      <w:r>
        <w:rPr>
          <w:rFonts w:eastAsia="Times New Roman" w:cs="Times New Roman"/>
          <w:szCs w:val="28"/>
        </w:rPr>
        <w:t>Cơn sốt vàng do ảnh hưởng của đại dịch Covid 19</w:t>
      </w:r>
    </w:p>
    <w:p>
      <w:pPr>
        <w:shd w:val="clear" w:color="auto" w:fill="FFFFFF"/>
        <w:spacing w:after="120" w:line="360" w:lineRule="auto"/>
        <w:rPr>
          <w:rFonts w:cs="Times New Roman"/>
          <w:szCs w:val="28"/>
        </w:rPr>
      </w:pPr>
      <w:r>
        <w:rPr>
          <w:rFonts w:cs="Times New Roman"/>
          <w:szCs w:val="28"/>
        </w:rPr>
        <w:t xml:space="preserve">Vàng đóng vai trò quan trọng đối với nền kinh tế, trong suốt 20 năm qua, thị trường kinh doanh vàng bạc tại Việt Nam có nhiều biến động, tác động không nhỏ vào quá trình phát triển kinh tế, xã hội. </w:t>
      </w:r>
    </w:p>
    <w:p>
      <w:pPr>
        <w:pStyle w:val="13"/>
        <w:shd w:val="clear" w:color="auto" w:fill="FFFFFF"/>
        <w:spacing w:before="0" w:beforeAutospacing="0" w:after="120" w:afterAutospacing="0" w:line="360" w:lineRule="auto"/>
        <w:jc w:val="both"/>
        <w:rPr>
          <w:sz w:val="28"/>
          <w:szCs w:val="28"/>
        </w:rPr>
      </w:pPr>
      <w:r>
        <w:rPr>
          <w:sz w:val="28"/>
          <w:szCs w:val="28"/>
        </w:rPr>
        <w:t>Thống kê cho thấy, thị trường vàng trong tháng 9/2022 giảm 0,9% so với tháng trước. Tuy nhiên, bình quân 8 tháng đầu năm 2022, giá vàng vẫn tăng 6,5%.</w:t>
      </w:r>
    </w:p>
    <w:p>
      <w:pPr>
        <w:pStyle w:val="13"/>
        <w:shd w:val="clear" w:color="auto" w:fill="FFFFFF"/>
        <w:spacing w:before="0" w:beforeAutospacing="0" w:after="120" w:afterAutospacing="0" w:line="360" w:lineRule="auto"/>
        <w:jc w:val="both"/>
        <w:rPr>
          <w:sz w:val="28"/>
          <w:szCs w:val="28"/>
        </w:rPr>
      </w:pPr>
      <w:r>
        <w:rPr>
          <w:sz w:val="28"/>
          <w:szCs w:val="28"/>
        </w:rPr>
        <w:t>Đánh giá về giá vàng trong nước, theo Tổng cục Thống kê, giá vàng trong nước biến động cùng chiều với giá vàng thế giới nhưng việc nắm giữ vàng miếng tiềm ẩn nhiều rủi ro bởi chênh lệch giá mua vào - bán ra cao và giá trong nước cao hơn giá thế giới khoảng 15 - 16 triệu đồng/lượng.</w:t>
      </w:r>
    </w:p>
    <w:p>
      <w:pPr>
        <w:pStyle w:val="13"/>
        <w:shd w:val="clear" w:color="auto" w:fill="FFFFFF"/>
        <w:spacing w:before="0" w:beforeAutospacing="0" w:after="120" w:afterAutospacing="0" w:line="360" w:lineRule="auto"/>
        <w:jc w:val="both"/>
        <w:rPr>
          <w:sz w:val="28"/>
          <w:szCs w:val="28"/>
        </w:rPr>
      </w:pPr>
      <w:r>
        <w:rPr>
          <w:b/>
          <w:sz w:val="28"/>
          <w:szCs w:val="28"/>
        </w:rPr>
        <w:t>Cập nhật mới nhất ngày 15/2/2023</w:t>
      </w:r>
      <w:r>
        <w:rPr>
          <w:sz w:val="28"/>
          <w:szCs w:val="28"/>
        </w:rPr>
        <w:t> cho thấy, mở phiên giao dịch vào sáng cùng ngày giá vàng tiếp tục được điều chỉnh giảm. Hiện tại, giá vàng trong nước đang niêm yết như sau:</w:t>
      </w:r>
    </w:p>
    <w:p>
      <w:pPr>
        <w:shd w:val="clear" w:color="auto" w:fill="FFFFFF"/>
        <w:spacing w:after="120" w:line="360" w:lineRule="auto"/>
        <w:ind w:right="300"/>
        <w:jc w:val="both"/>
        <w:rPr>
          <w:rFonts w:eastAsia="Times New Roman" w:cs="Times New Roman"/>
          <w:szCs w:val="28"/>
        </w:rPr>
      </w:pPr>
      <w:r>
        <w:rPr>
          <w:rFonts w:eastAsia="Times New Roman" w:cs="Times New Roman"/>
          <w:bCs/>
          <w:szCs w:val="28"/>
        </w:rPr>
        <w:t>Giá vàng SJC: </w:t>
      </w:r>
      <w:r>
        <w:rPr>
          <w:rFonts w:eastAsia="Times New Roman" w:cs="Times New Roman"/>
          <w:szCs w:val="28"/>
        </w:rPr>
        <w:t>Tại khu vực Hà Nội và Đà Nẵng, giá giao dịch ở mức 66,3 - 67,72 triệu đồng/lượng (mua vào - bán ra). Tại TP Hồ Chí Minh, giá vàng SJC giao dịch quanh mức 66,3 - 67,7 triệu đồng/lượng (mua vào - bán ra).</w:t>
      </w:r>
    </w:p>
    <w:p>
      <w:pPr>
        <w:shd w:val="clear" w:color="auto" w:fill="FFFFFF"/>
        <w:spacing w:after="120" w:line="360" w:lineRule="auto"/>
        <w:ind w:right="300"/>
        <w:jc w:val="both"/>
        <w:rPr>
          <w:rFonts w:eastAsia="Times New Roman" w:cs="Times New Roman"/>
          <w:szCs w:val="28"/>
        </w:rPr>
      </w:pPr>
      <w:r>
        <w:rPr>
          <w:rFonts w:eastAsia="Times New Roman" w:cs="Times New Roman"/>
          <w:bCs/>
          <w:szCs w:val="28"/>
        </w:rPr>
        <w:t>Giá vàng DOJI: </w:t>
      </w:r>
      <w:r>
        <w:rPr>
          <w:rFonts w:eastAsia="Times New Roman" w:cs="Times New Roman"/>
          <w:szCs w:val="28"/>
        </w:rPr>
        <w:t>Tại khu vực Hà Nội đang niêm yết ở mức 66,3 - 67,3 triệu đồng/lượng (mua vào - bán ra). Tại TP Hồ Chí Minh, vàng thương hiệu đang giao dịch ở mức 66,3 - 67,3 triệu đồng/lượng (mua vào - bán ra).</w:t>
      </w:r>
    </w:p>
    <w:p>
      <w:pPr>
        <w:shd w:val="clear" w:color="auto" w:fill="FFFFFF"/>
        <w:spacing w:after="120" w:line="360" w:lineRule="auto"/>
        <w:ind w:firstLine="720"/>
        <w:jc w:val="both"/>
        <w:rPr>
          <w:rFonts w:eastAsia="Times New Roman" w:cs="Times New Roman"/>
          <w:b/>
          <w:bCs/>
          <w:szCs w:val="28"/>
        </w:rPr>
      </w:pPr>
      <w:r>
        <w:rPr>
          <w:rFonts w:eastAsia="Times New Roman" w:cs="Times New Roman"/>
          <w:b/>
          <w:bCs/>
          <w:szCs w:val="28"/>
        </w:rPr>
        <w:t>Các yếu tố ảnh hưởng đến giá vàng thế giới</w:t>
      </w:r>
    </w:p>
    <w:p>
      <w:pPr>
        <w:shd w:val="clear" w:color="auto" w:fill="FFFFFF"/>
        <w:spacing w:after="120" w:line="360" w:lineRule="auto"/>
        <w:ind w:firstLine="720"/>
        <w:jc w:val="both"/>
        <w:rPr>
          <w:rFonts w:eastAsia="Times New Roman" w:cs="Times New Roman"/>
          <w:bCs/>
          <w:szCs w:val="28"/>
        </w:rPr>
      </w:pPr>
      <w:r>
        <w:rPr>
          <w:rFonts w:eastAsia="Times New Roman" w:cs="Times New Roman"/>
          <w:bCs/>
          <w:i/>
          <w:szCs w:val="28"/>
        </w:rPr>
        <w:t>- Khủng hoảng toàn cầu:</w:t>
      </w:r>
      <w:r>
        <w:rPr>
          <w:rFonts w:eastAsia="Times New Roman" w:cs="Times New Roman"/>
          <w:bCs/>
          <w:szCs w:val="28"/>
        </w:rPr>
        <w:t xml:space="preserve"> Vàng được xem là nguồn trú ẩn an toàn trong bối cảnh kinh tế hoặc địa chính trị bất ổn định, nó luôn có xu hướng tăng khi mọi người thiếu niềm tin vào chính phủ hoặc thị trường tài chính.</w:t>
      </w:r>
    </w:p>
    <w:p>
      <w:pPr>
        <w:shd w:val="clear" w:color="auto" w:fill="FFFFFF"/>
        <w:spacing w:after="120" w:line="360" w:lineRule="auto"/>
        <w:ind w:firstLine="720"/>
        <w:jc w:val="both"/>
        <w:rPr>
          <w:rFonts w:cs="Times New Roman"/>
          <w:spacing w:val="-1"/>
          <w:szCs w:val="28"/>
        </w:rPr>
      </w:pPr>
      <w:r>
        <w:rPr>
          <w:rFonts w:cs="Times New Roman"/>
          <w:spacing w:val="-1"/>
          <w:szCs w:val="28"/>
        </w:rPr>
        <w:t xml:space="preserve">Năm 2022 chứng kiến ​​một trong những cú sốc địa chính trị lớn nhất thời hiện đại sau cuộc </w:t>
      </w:r>
      <w:r>
        <w:rPr>
          <w:rFonts w:eastAsia="Times New Roman" w:cs="Times New Roman"/>
          <w:bCs/>
          <w:szCs w:val="28"/>
        </w:rPr>
        <w:t>chiến</w:t>
      </w:r>
      <w:r>
        <w:rPr>
          <w:rFonts w:cs="Times New Roman"/>
          <w:spacing w:val="-1"/>
          <w:szCs w:val="28"/>
        </w:rPr>
        <w:t xml:space="preserve"> Ukraine của Nga. Các biện pháp trừng phạt đối với Nga đã gây thêm căng thẳng cho nền kinh tế toàn cầu, và đặc biệt đã dẫn đến giá khí đốt tăng vọt. Châu Âu dự kiến ​​sẽ phải đối mặt với khó khăn do bị  hạn chế năng lượng, gây thiệt hại thêm cho sản lượng công nghiệp nào từ bất kỳ các quốc gia chủ chốt.</w:t>
      </w:r>
    </w:p>
    <w:p>
      <w:pPr>
        <w:shd w:val="clear" w:color="auto" w:fill="FFFFFF"/>
        <w:spacing w:after="120" w:line="360" w:lineRule="auto"/>
        <w:ind w:firstLine="720"/>
        <w:jc w:val="both"/>
        <w:rPr>
          <w:rFonts w:eastAsia="Times New Roman" w:cs="Times New Roman"/>
          <w:bCs/>
          <w:szCs w:val="28"/>
        </w:rPr>
      </w:pPr>
      <w:r>
        <w:rPr>
          <w:rFonts w:eastAsia="Times New Roman" w:cs="Times New Roman"/>
          <w:bCs/>
          <w:i/>
          <w:szCs w:val="28"/>
        </w:rPr>
        <w:t>- Chính sách của các ngân hàng trung ương (Cục Dự trữ Liên bang FED (Mỹ), Ngân hàng Trung ương châu Âu, Ngân hàng Nhật Bản và Ngân hàng Quốc gia Thụy Sĩ):</w:t>
      </w:r>
      <w:r>
        <w:rPr>
          <w:rFonts w:eastAsia="Times New Roman" w:cs="Times New Roman"/>
          <w:bCs/>
          <w:szCs w:val="28"/>
        </w:rPr>
        <w:t xml:space="preserve"> Nếu các chính sách do ngân hàng đưa ra không thực sự mang lại hiệu quả, sẽ khiến nhiều người chuyển đổi qua vàng và xem đây như là một khoản trú ẩn an toàn.</w:t>
      </w:r>
    </w:p>
    <w:p>
      <w:pPr>
        <w:shd w:val="clear" w:color="auto" w:fill="FFFFFF"/>
        <w:spacing w:after="120" w:line="360" w:lineRule="auto"/>
        <w:ind w:firstLine="720"/>
        <w:jc w:val="both"/>
        <w:rPr>
          <w:rFonts w:cs="Times New Roman"/>
          <w:spacing w:val="-1"/>
          <w:szCs w:val="28"/>
        </w:rPr>
      </w:pPr>
      <w:r>
        <w:rPr>
          <w:rFonts w:cs="Times New Roman"/>
          <w:spacing w:val="-1"/>
          <w:szCs w:val="28"/>
        </w:rPr>
        <w:t xml:space="preserve">Các ngân hàng trung ương như Fed, ECB và BoE đã tăng lãi suất để cố gắng giảm lạm phát, </w:t>
      </w:r>
      <w:r>
        <w:rPr>
          <w:rFonts w:eastAsia="Times New Roman" w:cs="Times New Roman"/>
          <w:bCs/>
          <w:szCs w:val="28"/>
        </w:rPr>
        <w:t>nhưng</w:t>
      </w:r>
      <w:r>
        <w:rPr>
          <w:rFonts w:cs="Times New Roman"/>
          <w:spacing w:val="-1"/>
          <w:szCs w:val="28"/>
        </w:rPr>
        <w:t xml:space="preserve"> với tác động hạn chế cho đến nay. Tỷ giá sẽ tiếp tục tăng trong khi lạm phát vẫn ở mức cao. Lãi suất cao thường được coi là tiêu cực đối với vàng với tư cách là một tài sản không mang lại lợi suất, mặc dù lạm phát cao thường được coi là tích cực đối với vàng như một hàng rào chống lại lạm phát.</w:t>
      </w:r>
    </w:p>
    <w:p>
      <w:pPr>
        <w:shd w:val="clear" w:color="auto" w:fill="FFFFFF"/>
        <w:spacing w:after="120" w:line="360" w:lineRule="auto"/>
        <w:ind w:firstLine="720"/>
        <w:jc w:val="both"/>
        <w:rPr>
          <w:rFonts w:eastAsia="Times New Roman" w:cs="Times New Roman"/>
          <w:bCs/>
          <w:szCs w:val="28"/>
        </w:rPr>
      </w:pPr>
      <w:r>
        <w:rPr>
          <w:rFonts w:eastAsia="Times New Roman" w:cs="Times New Roman"/>
          <w:bCs/>
          <w:i/>
          <w:szCs w:val="28"/>
        </w:rPr>
        <w:t>- Giá trị đồng USD:</w:t>
      </w:r>
      <w:r>
        <w:rPr>
          <w:rFonts w:eastAsia="Times New Roman" w:cs="Times New Roman"/>
          <w:bCs/>
          <w:szCs w:val="28"/>
        </w:rPr>
        <w:t xml:space="preserve"> Nhìn chung, giá vàng thường tỷ lệ nghịch với giá trị đồng đô la Mỹ. Khi đồng USD mạnh, vàng sẽ suy yếu và ngược lại, khi USD suy yếu vàng sẽ mạnh lên.</w:t>
      </w:r>
    </w:p>
    <w:p>
      <w:pPr>
        <w:shd w:val="clear" w:color="auto" w:fill="FFFFFF"/>
        <w:spacing w:after="120" w:line="360" w:lineRule="auto"/>
        <w:ind w:firstLine="720"/>
        <w:jc w:val="both"/>
        <w:rPr>
          <w:rFonts w:cs="Times New Roman"/>
          <w:spacing w:val="-1"/>
          <w:szCs w:val="28"/>
        </w:rPr>
      </w:pPr>
      <w:r>
        <w:rPr>
          <w:rFonts w:cs="Times New Roman"/>
          <w:spacing w:val="-1"/>
          <w:szCs w:val="28"/>
        </w:rPr>
        <w:t xml:space="preserve">Đồng đô la ngày </w:t>
      </w:r>
      <w:r>
        <w:rPr>
          <w:rFonts w:eastAsia="Times New Roman" w:cs="Times New Roman"/>
          <w:bCs/>
          <w:szCs w:val="28"/>
        </w:rPr>
        <w:t>càng</w:t>
      </w:r>
      <w:r>
        <w:rPr>
          <w:rFonts w:cs="Times New Roman"/>
          <w:spacing w:val="-1"/>
          <w:szCs w:val="28"/>
        </w:rPr>
        <w:t xml:space="preserve"> mạnh vào năm 2022, tác động đáng kể đến giá vàng và các loại tiền tệ khác trên thế giới. Chỉ số Dollar Index, được đo lường so với rổ các loại tiền tệ chính trên toàn cầu, hiện đang ở mức cao nhất trong 20 năm khi các nhà đầu tư chuyển sang đồng đô la như một nơi an toàn để gửi tiền của họ.</w:t>
      </w:r>
    </w:p>
    <w:p>
      <w:pPr>
        <w:shd w:val="clear" w:color="auto" w:fill="FFFFFF"/>
        <w:spacing w:after="120" w:line="360" w:lineRule="auto"/>
        <w:ind w:firstLine="720"/>
        <w:jc w:val="both"/>
        <w:rPr>
          <w:rFonts w:eastAsia="Times New Roman" w:cs="Times New Roman"/>
          <w:bCs/>
          <w:szCs w:val="28"/>
        </w:rPr>
      </w:pPr>
      <w:r>
        <w:rPr>
          <w:rFonts w:eastAsia="Times New Roman" w:cs="Times New Roman"/>
          <w:bCs/>
          <w:i/>
          <w:szCs w:val="28"/>
        </w:rPr>
        <w:t>- Lạm phát:</w:t>
      </w:r>
      <w:r>
        <w:rPr>
          <w:rFonts w:eastAsia="Times New Roman" w:cs="Times New Roman"/>
          <w:bCs/>
          <w:szCs w:val="28"/>
        </w:rPr>
        <w:t xml:space="preserve"> Một lý do phổ biến khiến nhiều người nắm giữ vàng, do vàng được xem như là như một hàng rào chống lạm phát và biến động tiền tệ. </w:t>
      </w:r>
    </w:p>
    <w:p>
      <w:pPr>
        <w:shd w:val="clear" w:color="auto" w:fill="FFFFFF"/>
        <w:spacing w:after="120" w:line="360" w:lineRule="auto"/>
        <w:ind w:firstLine="720"/>
        <w:jc w:val="both"/>
        <w:rPr>
          <w:rFonts w:cs="Times New Roman"/>
          <w:spacing w:val="-1"/>
          <w:szCs w:val="28"/>
        </w:rPr>
      </w:pPr>
      <w:r>
        <w:rPr>
          <w:rFonts w:cs="Times New Roman"/>
          <w:spacing w:val="-1"/>
          <w:szCs w:val="28"/>
        </w:rPr>
        <w:t>Lạm phát vẫn ở mức cao trong suốt năm 2022 ở nhiều quốc gia. Vương quốc Anh được dự báo sẽ đạt 11% vào cuối năm, trong khi số liệu mới nhất từ ​​Mỹ đưa CPI lên 8,3% so với cùng kỳ năm ngoái.</w:t>
      </w:r>
    </w:p>
    <w:p>
      <w:pPr>
        <w:shd w:val="clear" w:color="auto" w:fill="FFFFFF"/>
        <w:spacing w:after="120" w:line="360" w:lineRule="auto"/>
        <w:ind w:firstLine="720"/>
        <w:jc w:val="both"/>
        <w:rPr>
          <w:rFonts w:eastAsia="Times New Roman" w:cs="Times New Roman"/>
          <w:bCs/>
          <w:szCs w:val="28"/>
        </w:rPr>
      </w:pPr>
      <w:r>
        <w:rPr>
          <w:rFonts w:eastAsia="Times New Roman" w:cs="Times New Roman"/>
          <w:bCs/>
          <w:i/>
          <w:szCs w:val="28"/>
        </w:rPr>
        <w:t>- Lãi suất:</w:t>
      </w:r>
      <w:r>
        <w:rPr>
          <w:rFonts w:eastAsia="Times New Roman" w:cs="Times New Roman"/>
          <w:bCs/>
          <w:szCs w:val="28"/>
        </w:rPr>
        <w:t xml:space="preserve"> Vàng không trả lãi như trái phiếu kho bạc hoặc tài khoản tiết kiệm, nhưng giá vàng lại chính là tấm gương phản ánh sự tăng và giảm lãi suất. Khi lãi suất tăng, giá vàng có thể giảm đi vì nhiều người bán vàng để tìm kiếm các cơ hội đầu tư khác. </w:t>
      </w:r>
    </w:p>
    <w:p>
      <w:pPr>
        <w:shd w:val="clear" w:color="auto" w:fill="FFFFFF"/>
        <w:spacing w:after="120" w:line="360" w:lineRule="auto"/>
        <w:ind w:firstLine="720"/>
        <w:jc w:val="both"/>
        <w:rPr>
          <w:rFonts w:eastAsia="Times New Roman" w:cs="Times New Roman"/>
          <w:bCs/>
          <w:szCs w:val="28"/>
        </w:rPr>
      </w:pPr>
      <w:r>
        <w:rPr>
          <w:rFonts w:eastAsia="Times New Roman" w:cs="Times New Roman"/>
          <w:bCs/>
          <w:i/>
          <w:szCs w:val="28"/>
        </w:rPr>
        <w:t xml:space="preserve">- Dự trữ chính phủ: </w:t>
      </w:r>
      <w:r>
        <w:rPr>
          <w:rFonts w:eastAsia="Times New Roman" w:cs="Times New Roman"/>
          <w:bCs/>
          <w:szCs w:val="28"/>
        </w:rPr>
        <w:t>Các ngân hàng trung ương mua vàng vào nhiều hơn bán ra sẽ đẩy giá vàng tăng lên.</w:t>
      </w:r>
    </w:p>
    <w:p>
      <w:pPr>
        <w:shd w:val="clear" w:color="auto" w:fill="FFFFFF"/>
        <w:spacing w:after="120" w:line="360" w:lineRule="auto"/>
        <w:ind w:firstLine="720"/>
        <w:jc w:val="both"/>
        <w:rPr>
          <w:rFonts w:eastAsia="Times New Roman" w:cs="Times New Roman"/>
          <w:bCs/>
          <w:szCs w:val="28"/>
        </w:rPr>
      </w:pPr>
      <w:r>
        <w:rPr>
          <w:rFonts w:eastAsia="Times New Roman" w:cs="Times New Roman"/>
          <w:bCs/>
          <w:i/>
          <w:szCs w:val="28"/>
        </w:rPr>
        <w:t>- Cung cầu:</w:t>
      </w:r>
      <w:r>
        <w:rPr>
          <w:rFonts w:eastAsia="Times New Roman" w:cs="Times New Roman"/>
          <w:bCs/>
          <w:szCs w:val="28"/>
        </w:rPr>
        <w:t xml:space="preserve"> Nhiều phân tích chỉ ra rằng con người đã khai thác vàng từ cách đây cả 5.000 năm, và kim loại quý này vẫn luôn nắm giữ vị trí số 1 ngay cả khi giá cả biến động. </w:t>
      </w:r>
    </w:p>
    <w:p>
      <w:pPr>
        <w:spacing w:after="120" w:line="360" w:lineRule="auto"/>
        <w:jc w:val="both"/>
        <w:rPr>
          <w:rFonts w:eastAsia="Times New Roman" w:cs="Times New Roman"/>
          <w:b/>
          <w:bCs/>
          <w:szCs w:val="28"/>
        </w:rPr>
      </w:pPr>
      <w:r>
        <w:rPr>
          <w:rFonts w:eastAsia="Times New Roman" w:cs="Times New Roman"/>
          <w:b/>
          <w:bCs/>
          <w:szCs w:val="28"/>
        </w:rPr>
        <w:tab/>
      </w:r>
      <w:r>
        <w:rPr>
          <w:rFonts w:eastAsia="Times New Roman" w:cs="Times New Roman"/>
          <w:b/>
          <w:bCs/>
          <w:szCs w:val="28"/>
        </w:rPr>
        <w:t xml:space="preserve">Nguồn cung Vàng trên thế giới: </w:t>
      </w:r>
    </w:p>
    <w:p>
      <w:pPr>
        <w:spacing w:after="120" w:line="360" w:lineRule="auto"/>
        <w:jc w:val="both"/>
        <w:rPr>
          <w:rFonts w:eastAsia="Times New Roman" w:cs="Times New Roman"/>
          <w:b/>
          <w:bCs/>
          <w:szCs w:val="28"/>
        </w:rPr>
      </w:pPr>
      <w:r>
        <w:rPr>
          <w:rFonts w:cs="Times New Roman"/>
          <w:szCs w:val="28"/>
        </w:rPr>
        <w:t>Theo dữ liệu sơ bộ do Cơ quan Khảo sát Địa chất Hoa Kỳ (USGS) công bố, sản lượng khai thác vàng toàn cầu vào năm 2022 là ~3.100 tấn, bằng với năm 2021 (3.090 tấn).</w:t>
      </w:r>
    </w:p>
    <w:p>
      <w:pPr>
        <w:spacing w:after="120" w:line="360" w:lineRule="auto"/>
        <w:jc w:val="both"/>
        <w:rPr>
          <w:rFonts w:eastAsia="Times New Roman" w:cs="Times New Roman"/>
          <w:b/>
          <w:bCs/>
          <w:szCs w:val="28"/>
        </w:rPr>
      </w:pPr>
      <w:r>
        <w:rPr>
          <w:rFonts w:eastAsia="Times New Roman" w:cs="Times New Roman"/>
          <w:szCs w:val="28"/>
        </w:rPr>
        <w:t xml:space="preserve">Theo ước tính, 10 quốc gia có sản lượng vàng lớn nhất trong năm 2022, bắt đầu với nhà sản xuất và tiêu thụ vàng hàng đầu là Trung Quốc. Nguồn dữ liệu từ </w:t>
      </w:r>
      <w:r>
        <w:rPr>
          <w:rFonts w:cs="Times New Roman"/>
          <w:szCs w:val="28"/>
        </w:rPr>
        <w:t>Cơ quan Khảo sát Địa chất Hoa Kỳ (USGS)</w:t>
      </w:r>
      <w:r>
        <w:rPr>
          <w:rFonts w:eastAsia="Times New Roman" w:cs="Times New Roman"/>
          <w:szCs w:val="28"/>
        </w:rPr>
        <w:t>.</w:t>
      </w:r>
    </w:p>
    <w:p>
      <w:pPr>
        <w:pStyle w:val="27"/>
        <w:numPr>
          <w:ilvl w:val="0"/>
          <w:numId w:val="2"/>
        </w:numPr>
        <w:shd w:val="clear" w:color="auto" w:fill="FFFFFF"/>
        <w:spacing w:after="120" w:line="360" w:lineRule="auto"/>
        <w:jc w:val="both"/>
        <w:textAlignment w:val="baseline"/>
        <w:rPr>
          <w:rFonts w:eastAsia="Times New Roman" w:cs="Times New Roman"/>
          <w:szCs w:val="28"/>
        </w:rPr>
      </w:pPr>
      <w:r>
        <w:rPr>
          <w:rFonts w:eastAsia="Times New Roman" w:cs="Times New Roman"/>
          <w:i/>
          <w:iCs/>
          <w:szCs w:val="28"/>
        </w:rPr>
        <w:t xml:space="preserve">Trung Quốc - 330 tấn. </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 xml:space="preserve">Nga - 320 tấn. </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 xml:space="preserve">Úc - 320 tấn. </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 xml:space="preserve">Canada - 220 tấn. </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Hoa Kỳ - 170 tấn</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 xml:space="preserve">Mexico - 120 tấn. </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 xml:space="preserve">Kazaktan - 120 tấn. </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 xml:space="preserve">Nam Phi - 110 tấn. </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szCs w:val="28"/>
        </w:rPr>
        <w:t>Uzbekistan – 100 tấn</w:t>
      </w:r>
    </w:p>
    <w:p>
      <w:pPr>
        <w:pStyle w:val="27"/>
        <w:numPr>
          <w:ilvl w:val="0"/>
          <w:numId w:val="2"/>
        </w:numPr>
        <w:pBdr>
          <w:bottom w:val="dotted" w:color="CCCCCC" w:sz="12" w:space="0"/>
        </w:pBdr>
        <w:shd w:val="clear" w:color="auto" w:fill="FFFFFF"/>
        <w:spacing w:after="120" w:line="360" w:lineRule="auto"/>
        <w:jc w:val="both"/>
        <w:textAlignment w:val="baseline"/>
        <w:outlineLvl w:val="2"/>
        <w:rPr>
          <w:rFonts w:eastAsia="Times New Roman" w:cs="Times New Roman"/>
          <w:szCs w:val="28"/>
        </w:rPr>
      </w:pPr>
      <w:r>
        <w:rPr>
          <w:rFonts w:eastAsia="Times New Roman" w:cs="Times New Roman"/>
          <w:i/>
          <w:iCs/>
          <w:szCs w:val="28"/>
        </w:rPr>
        <w:t xml:space="preserve">Peru - 100 tấn. </w:t>
      </w:r>
    </w:p>
    <w:p>
      <w:pPr>
        <w:shd w:val="clear" w:color="auto" w:fill="FFFFFF"/>
        <w:spacing w:after="120" w:line="360" w:lineRule="auto"/>
        <w:jc w:val="both"/>
        <w:rPr>
          <w:rFonts w:eastAsia="Times New Roman" w:cs="Times New Roman"/>
          <w:b/>
          <w:bCs/>
          <w:szCs w:val="28"/>
        </w:rPr>
      </w:pPr>
      <w:r>
        <w:rPr>
          <w:rFonts w:eastAsia="Times New Roman" w:cs="Times New Roman"/>
          <w:b/>
          <w:bCs/>
          <w:szCs w:val="28"/>
        </w:rPr>
        <w:t>Nhu cầu Vàng trên thế giới</w:t>
      </w:r>
    </w:p>
    <w:p>
      <w:pPr>
        <w:shd w:val="clear" w:color="auto" w:fill="FFFFFF"/>
        <w:spacing w:after="120" w:line="360" w:lineRule="auto"/>
        <w:ind w:firstLine="720"/>
        <w:jc w:val="both"/>
        <w:rPr>
          <w:rFonts w:eastAsia="Times New Roman" w:cs="Times New Roman"/>
          <w:szCs w:val="28"/>
        </w:rPr>
      </w:pPr>
      <w:r>
        <w:rPr>
          <w:rFonts w:eastAsia="Times New Roman" w:cs="Times New Roman"/>
          <w:bCs/>
          <w:szCs w:val="28"/>
        </w:rPr>
        <w:t xml:space="preserve">Dữ liệu từ Hội đồng Vàng Thế giới (World Gold Council) đã chỉ ra sự phân bổ nhu cầu vàng thường niên trên toàn cầu. Cụ thể, năm 2022 là năm có nhu cầu vàng mạnh nhất, </w:t>
      </w:r>
      <w:r>
        <w:rPr>
          <w:rFonts w:eastAsia="Times New Roman" w:cs="Times New Roman"/>
          <w:szCs w:val="28"/>
        </w:rPr>
        <w:t>tăng 18% lên 4.741 tấn. Đó là con số hàng năm lớn nhất kể từ năm 2011.</w:t>
      </w:r>
    </w:p>
    <w:p>
      <w:pPr>
        <w:pStyle w:val="13"/>
        <w:numPr>
          <w:ilvl w:val="0"/>
          <w:numId w:val="3"/>
        </w:numPr>
        <w:shd w:val="clear" w:color="auto" w:fill="FFFFFF"/>
        <w:spacing w:before="0" w:beforeAutospacing="0" w:after="120" w:afterAutospacing="0" w:line="360" w:lineRule="auto"/>
        <w:jc w:val="both"/>
        <w:rPr>
          <w:spacing w:val="7"/>
          <w:sz w:val="28"/>
          <w:szCs w:val="28"/>
        </w:rPr>
      </w:pPr>
      <w:r>
        <w:rPr>
          <w:spacing w:val="7"/>
          <w:sz w:val="28"/>
          <w:szCs w:val="28"/>
        </w:rPr>
        <w:t>Nhu cầu mua tích trữ của ngân hàng trung ương các nước đã tăng trong quý thứ hai liên tiếp (417 tấn), đưa lượng mua trong năm 2022 lên mức cao 1.136 tấn,</w:t>
      </w:r>
      <w:r>
        <w:rPr>
          <w:spacing w:val="2"/>
          <w:sz w:val="28"/>
          <w:szCs w:val="28"/>
        </w:rPr>
        <w:t xml:space="preserve"> mức cao nhất trong 11 năm.</w:t>
      </w:r>
    </w:p>
    <w:p>
      <w:pPr>
        <w:pStyle w:val="13"/>
        <w:numPr>
          <w:ilvl w:val="0"/>
          <w:numId w:val="3"/>
        </w:numPr>
        <w:shd w:val="clear" w:color="auto" w:fill="FFFFFF"/>
        <w:spacing w:before="0" w:beforeAutospacing="0" w:after="120" w:afterAutospacing="0" w:line="360" w:lineRule="auto"/>
        <w:jc w:val="both"/>
        <w:rPr>
          <w:spacing w:val="7"/>
          <w:sz w:val="28"/>
          <w:szCs w:val="28"/>
        </w:rPr>
      </w:pPr>
      <w:r>
        <w:rPr>
          <w:spacing w:val="7"/>
          <w:sz w:val="28"/>
          <w:szCs w:val="28"/>
        </w:rPr>
        <w:t>Nhu cầu vàng làm trang sức giảm nhẹ vào năm 2022, giảm 3% xuống 2.086 tấn. Phần lớn sự giảm sút đã xảy ra trong quý IV khi giá vàng tăng mạnh. </w:t>
      </w:r>
    </w:p>
    <w:p>
      <w:pPr>
        <w:pStyle w:val="13"/>
        <w:numPr>
          <w:ilvl w:val="0"/>
          <w:numId w:val="3"/>
        </w:numPr>
        <w:shd w:val="clear" w:color="auto" w:fill="FFFFFF"/>
        <w:spacing w:before="0" w:beforeAutospacing="0" w:after="120" w:afterAutospacing="0" w:line="360" w:lineRule="auto"/>
        <w:jc w:val="both"/>
        <w:rPr>
          <w:spacing w:val="7"/>
          <w:sz w:val="28"/>
          <w:szCs w:val="28"/>
        </w:rPr>
      </w:pPr>
      <w:r>
        <w:rPr>
          <w:spacing w:val="7"/>
          <w:sz w:val="28"/>
          <w:szCs w:val="28"/>
        </w:rPr>
        <w:t>Nhu cầu đầu tư đạt 1.107 tấn (+10%) vào năm 2022. Nhu cầu vàng miếng và tiền xu tăng 2% lên 1.217 tấn, trong khi lượng vàng nắm giữ của các quỹ ETF giảm ít hơn so với năm 2021. </w:t>
      </w:r>
    </w:p>
    <w:p>
      <w:pPr>
        <w:pStyle w:val="13"/>
        <w:numPr>
          <w:ilvl w:val="0"/>
          <w:numId w:val="3"/>
        </w:numPr>
        <w:shd w:val="clear" w:color="auto" w:fill="FFFFFF"/>
        <w:spacing w:before="0" w:beforeAutospacing="0" w:after="120" w:afterAutospacing="0" w:line="360" w:lineRule="auto"/>
        <w:jc w:val="both"/>
        <w:rPr>
          <w:spacing w:val="7"/>
          <w:sz w:val="28"/>
          <w:szCs w:val="28"/>
        </w:rPr>
      </w:pPr>
      <w:r>
        <w:rPr>
          <w:spacing w:val="7"/>
          <w:sz w:val="28"/>
          <w:szCs w:val="28"/>
        </w:rPr>
        <w:t>Nhu cầu về vàng trong lĩnh vực công nghệ đã giảm mạnh trong Q4, dẫn đến mức giảm cả năm là 7%. Nguyên nhân do điều kiện kinh tế toàn cầu xấu đi đã cản trở nhu cầu đối với hàng điện tử tiêu dùng. </w:t>
      </w:r>
    </w:p>
    <w:p>
      <w:pPr>
        <w:pStyle w:val="28"/>
        <w:spacing w:before="0" w:after="120"/>
      </w:pPr>
      <w:r>
        <w:t xml:space="preserve">Dự báo giá </w:t>
      </w:r>
      <w:r>
        <w:rPr>
          <w:lang w:val="en-US"/>
        </w:rPr>
        <w:t>Vàng</w:t>
      </w:r>
      <w:r>
        <w:t xml:space="preserve"> trong thời gian tới</w:t>
      </w:r>
    </w:p>
    <w:p>
      <w:pPr>
        <w:pStyle w:val="13"/>
        <w:spacing w:before="0" w:beforeAutospacing="0" w:after="120" w:afterAutospacing="0" w:line="360" w:lineRule="auto"/>
        <w:jc w:val="both"/>
        <w:rPr>
          <w:sz w:val="28"/>
          <w:szCs w:val="28"/>
        </w:rPr>
      </w:pPr>
      <w:r>
        <w:rPr>
          <w:sz w:val="28"/>
          <w:szCs w:val="28"/>
        </w:rPr>
        <w:t>Việc mở cửa trở lại nền kinh tế của Trung Quốc - một trong những nước mua vàng lớn nhất - đã cải thiện triển vọng nhu cầu kim loại quý vào năm 2023. Ngân hàng trung ương của nước này, Ngân hàng Nhân dân Trung Quốc (PBoC), đã tăng lượng mua vàng thêm 32 tấn, lần </w:t>
      </w:r>
      <w:r>
        <w:rPr>
          <w:rFonts w:eastAsiaTheme="majorEastAsia"/>
          <w:sz w:val="28"/>
          <w:szCs w:val="28"/>
        </w:rPr>
        <w:t>đầu</w:t>
      </w:r>
      <w:r>
        <w:rPr>
          <w:sz w:val="28"/>
          <w:szCs w:val="28"/>
        </w:rPr>
        <w:t> tiên tăng dự trữ vàng kể từ tháng 9 năm 2019. </w:t>
      </w:r>
    </w:p>
    <w:p>
      <w:pPr>
        <w:pStyle w:val="13"/>
        <w:spacing w:before="0" w:beforeAutospacing="0" w:after="120" w:afterAutospacing="0" w:line="360" w:lineRule="auto"/>
        <w:jc w:val="both"/>
        <w:rPr>
          <w:sz w:val="28"/>
          <w:szCs w:val="28"/>
        </w:rPr>
      </w:pPr>
      <w:r>
        <w:rPr>
          <w:sz w:val="28"/>
          <w:szCs w:val="28"/>
        </w:rPr>
        <w:t>Thêm vào đó, sự suy yếu của đồng đô la Mỹ và tốc độ tăng lãi suất của Fed chậm lại đang hỗ trợ vàng định giá bằng USD. Fed đã tăng lãi suất quỹ liên bang thêm 50 điểm cơ bản ( </w:t>
      </w:r>
      <w:r>
        <w:rPr>
          <w:rFonts w:eastAsiaTheme="majorEastAsia"/>
          <w:sz w:val="28"/>
          <w:szCs w:val="28"/>
        </w:rPr>
        <w:t>bps</w:t>
      </w:r>
      <w:r>
        <w:rPr>
          <w:sz w:val="28"/>
          <w:szCs w:val="28"/>
        </w:rPr>
        <w:t> ) tại cuộc họp tháng 12 năm 2022, thấp hơn mức tăng 75 điểm cơ bản trước đó.</w:t>
      </w:r>
    </w:p>
    <w:p>
      <w:pPr>
        <w:pStyle w:val="13"/>
        <w:spacing w:before="0" w:beforeAutospacing="0" w:after="120" w:afterAutospacing="0" w:line="360" w:lineRule="auto"/>
        <w:jc w:val="both"/>
        <w:rPr>
          <w:sz w:val="28"/>
          <w:szCs w:val="28"/>
        </w:rPr>
      </w:pPr>
      <w:r>
        <w:rPr>
          <w:sz w:val="28"/>
          <w:szCs w:val="28"/>
        </w:rPr>
        <w:t>Trong dự báo tháng 12/2022, Fitch Solutions kỳ vọng giá vàng sẽ ở mức trung bình $1850/oz vào năm 2023, tăng so với dự báo trước đó là $1800/oz.</w:t>
      </w:r>
    </w:p>
    <w:p>
      <w:pPr>
        <w:pStyle w:val="13"/>
        <w:spacing w:before="0" w:beforeAutospacing="0" w:after="120" w:afterAutospacing="0" w:line="360" w:lineRule="auto"/>
        <w:jc w:val="both"/>
        <w:rPr>
          <w:sz w:val="28"/>
          <w:szCs w:val="28"/>
        </w:rPr>
      </w:pPr>
      <w:r>
        <w:rPr>
          <w:sz w:val="28"/>
          <w:szCs w:val="28"/>
        </w:rPr>
        <w:t>Còn trong dự báo giá vàng vào ngày 12 tháng 12, Tập đoàn ABN-Amro ước tính kim loại quý này sẽ ở mức trung bình $1900/oz vào năm 2023.</w:t>
      </w:r>
    </w:p>
    <w:p>
      <w:pPr>
        <w:pStyle w:val="13"/>
        <w:spacing w:before="0" w:beforeAutospacing="0" w:after="120" w:afterAutospacing="0" w:line="360" w:lineRule="auto"/>
        <w:jc w:val="both"/>
        <w:rPr>
          <w:sz w:val="28"/>
          <w:szCs w:val="28"/>
        </w:rPr>
      </w:pPr>
      <w:r>
        <w:rPr>
          <w:sz w:val="28"/>
          <w:szCs w:val="28"/>
        </w:rPr>
        <w:t>Trong dự đoán giá vàng vào ngày 16 tháng 1, các nhà phân tích của ANZ Research đã đưa ra quan điểm tích cực đối với kim loại này trong năm tới, với nhu cầu vật chất dự kiến ​​sẽ mạnh vào năm 2023 trong bối cảnh Trung Quốc mở cửa trở lại. Các nhà phân tích của ANZ Research đưa ra mục tiêu giá vàng trong 12 tháng không đổi ở mức $1900/oz.”</w:t>
      </w:r>
    </w:p>
    <w:p>
      <w:pPr>
        <w:rPr>
          <w:rFonts w:eastAsia="Times New Roman" w:cs="Times New Roman"/>
          <w:szCs w:val="28"/>
        </w:rPr>
      </w:pPr>
      <w:r>
        <w:rPr>
          <w:szCs w:val="28"/>
        </w:rPr>
        <w:br w:type="page"/>
      </w:r>
    </w:p>
    <w:p>
      <w:pPr>
        <w:pStyle w:val="13"/>
        <w:spacing w:before="0" w:beforeAutospacing="0" w:after="120" w:afterAutospacing="0" w:line="360" w:lineRule="auto"/>
        <w:jc w:val="both"/>
        <w:rPr>
          <w:sz w:val="28"/>
          <w:szCs w:val="28"/>
        </w:rPr>
      </w:pPr>
      <w:r>
        <w:rPr>
          <w:sz w:val="28"/>
          <w:szCs w:val="28"/>
        </w:rPr>
        <w:t>TÀI LIỆU THAM KHẢO</w:t>
      </w:r>
    </w:p>
    <w:p>
      <w:pPr>
        <w:pStyle w:val="27"/>
        <w:numPr>
          <w:ilvl w:val="3"/>
          <w:numId w:val="4"/>
        </w:numPr>
        <w:spacing w:before="120" w:after="0" w:line="312" w:lineRule="auto"/>
        <w:ind w:left="0" w:hanging="357"/>
        <w:jc w:val="both"/>
        <w:rPr>
          <w:rFonts w:cs="Times New Roman"/>
          <w:iCs/>
          <w:szCs w:val="28"/>
        </w:rPr>
      </w:pPr>
      <w:r>
        <w:rPr>
          <w:rFonts w:cs="Times New Roman"/>
          <w:iCs/>
          <w:szCs w:val="28"/>
        </w:rPr>
        <w:t>https://www.statista.com/statistics/1220158/global-lithium-demand-volume-by-application/</w:t>
      </w:r>
    </w:p>
    <w:p>
      <w:pPr>
        <w:pStyle w:val="27"/>
        <w:numPr>
          <w:ilvl w:val="3"/>
          <w:numId w:val="4"/>
        </w:numPr>
        <w:spacing w:before="120" w:after="0" w:line="312" w:lineRule="auto"/>
        <w:ind w:left="0" w:hanging="357"/>
        <w:jc w:val="both"/>
        <w:rPr>
          <w:rFonts w:cs="Times New Roman"/>
          <w:iCs/>
          <w:szCs w:val="28"/>
        </w:rPr>
      </w:pPr>
      <w:r>
        <w:rPr>
          <w:rFonts w:cs="Times New Roman"/>
          <w:iCs/>
          <w:szCs w:val="28"/>
        </w:rPr>
        <w:t>https://www.gold.org/gold-market-structure</w:t>
      </w:r>
    </w:p>
    <w:p>
      <w:pPr>
        <w:pStyle w:val="27"/>
        <w:numPr>
          <w:ilvl w:val="3"/>
          <w:numId w:val="4"/>
        </w:numPr>
        <w:spacing w:before="120" w:after="0" w:line="312" w:lineRule="auto"/>
        <w:ind w:left="0" w:hanging="357"/>
        <w:jc w:val="both"/>
        <w:rPr>
          <w:rFonts w:cs="Times New Roman"/>
          <w:iCs/>
          <w:szCs w:val="28"/>
        </w:rPr>
      </w:pPr>
      <w:r>
        <w:rPr>
          <w:rFonts w:cs="Times New Roman"/>
          <w:iCs/>
          <w:szCs w:val="28"/>
        </w:rPr>
        <w:t>https://thebank.vn/blog/21950-bieu-do-gia-vang-sjc.html</w:t>
      </w:r>
    </w:p>
    <w:p>
      <w:pPr>
        <w:pStyle w:val="27"/>
        <w:numPr>
          <w:ilvl w:val="3"/>
          <w:numId w:val="4"/>
        </w:numPr>
        <w:spacing w:before="120" w:after="0" w:line="312" w:lineRule="auto"/>
        <w:ind w:left="0" w:hanging="357"/>
        <w:jc w:val="both"/>
        <w:rPr>
          <w:rFonts w:cs="Times New Roman"/>
          <w:iCs/>
          <w:szCs w:val="28"/>
        </w:rPr>
      </w:pPr>
      <w:r>
        <w:rPr>
          <w:rFonts w:cs="Times New Roman"/>
          <w:iCs/>
          <w:szCs w:val="28"/>
        </w:rPr>
        <w:t>https://tradingeconomics.com/commodity</w:t>
      </w:r>
    </w:p>
    <w:p>
      <w:pPr>
        <w:pStyle w:val="27"/>
        <w:numPr>
          <w:ilvl w:val="3"/>
          <w:numId w:val="4"/>
        </w:numPr>
        <w:shd w:val="clear" w:color="auto" w:fill="FFFFFF"/>
        <w:spacing w:before="120" w:after="0" w:line="312" w:lineRule="auto"/>
        <w:ind w:left="0" w:hanging="357"/>
        <w:jc w:val="both"/>
        <w:outlineLvl w:val="1"/>
        <w:rPr>
          <w:rStyle w:val="12"/>
          <w:bCs/>
          <w:szCs w:val="28"/>
        </w:rPr>
      </w:pPr>
      <w:r>
        <w:rPr>
          <w:rFonts w:eastAsia="Times New Roman" w:cs="Times New Roman"/>
          <w:bCs/>
          <w:szCs w:val="28"/>
        </w:rPr>
        <w:t>https://www.thitruonghanghoa.com</w:t>
      </w:r>
    </w:p>
    <w:p>
      <w:pPr>
        <w:pStyle w:val="27"/>
        <w:numPr>
          <w:ilvl w:val="3"/>
          <w:numId w:val="4"/>
        </w:numPr>
        <w:spacing w:before="120" w:after="0" w:line="312" w:lineRule="auto"/>
        <w:ind w:left="0" w:hanging="357"/>
        <w:jc w:val="both"/>
        <w:rPr>
          <w:rFonts w:cs="Times New Roman"/>
          <w:szCs w:val="28"/>
        </w:rPr>
      </w:pPr>
      <w:r>
        <w:rPr>
          <w:rFonts w:cs="Times New Roman"/>
          <w:szCs w:val="28"/>
        </w:rPr>
        <w:t>https://www.mining-technology.com</w:t>
      </w:r>
    </w:p>
    <w:p>
      <w:pPr>
        <w:pStyle w:val="27"/>
        <w:numPr>
          <w:ilvl w:val="3"/>
          <w:numId w:val="4"/>
        </w:numPr>
        <w:spacing w:before="120" w:after="0" w:line="312" w:lineRule="auto"/>
        <w:ind w:left="0" w:hanging="357"/>
        <w:rPr>
          <w:rFonts w:cs="Times New Roman"/>
          <w:szCs w:val="28"/>
        </w:rPr>
      </w:pPr>
      <w:r>
        <w:rPr>
          <w:rFonts w:cs="Times New Roman"/>
          <w:szCs w:val="28"/>
        </w:rPr>
        <w:t>https://www.lme.com/</w:t>
      </w:r>
    </w:p>
    <w:p>
      <w:pPr>
        <w:pStyle w:val="27"/>
        <w:numPr>
          <w:ilvl w:val="3"/>
          <w:numId w:val="4"/>
        </w:numPr>
        <w:shd w:val="clear" w:color="auto" w:fill="FFFFFF"/>
        <w:spacing w:before="120" w:after="0" w:line="312" w:lineRule="auto"/>
        <w:ind w:left="0" w:hanging="357"/>
        <w:jc w:val="both"/>
        <w:outlineLvl w:val="1"/>
        <w:rPr>
          <w:rFonts w:eastAsia="Times New Roman" w:cs="Times New Roman"/>
          <w:bCs/>
          <w:szCs w:val="28"/>
        </w:rPr>
      </w:pPr>
      <w:r>
        <w:rPr>
          <w:rFonts w:eastAsia="Times New Roman" w:cs="Times New Roman"/>
          <w:bCs/>
          <w:szCs w:val="28"/>
        </w:rPr>
        <w:t>https://tradingview.com</w:t>
      </w:r>
    </w:p>
    <w:p>
      <w:pPr>
        <w:pStyle w:val="27"/>
        <w:numPr>
          <w:ilvl w:val="3"/>
          <w:numId w:val="4"/>
        </w:numPr>
        <w:spacing w:before="120" w:after="0" w:line="312" w:lineRule="auto"/>
        <w:ind w:left="0" w:hanging="357"/>
        <w:rPr>
          <w:rFonts w:cs="Times New Roman"/>
          <w:szCs w:val="28"/>
        </w:rPr>
      </w:pPr>
      <w:r>
        <w:rPr>
          <w:rFonts w:cs="Times New Roman"/>
          <w:szCs w:val="28"/>
        </w:rPr>
        <w:t>https://thesaigontimes.vn/</w:t>
      </w:r>
    </w:p>
    <w:p>
      <w:pPr>
        <w:pStyle w:val="27"/>
        <w:numPr>
          <w:ilvl w:val="3"/>
          <w:numId w:val="4"/>
        </w:numPr>
        <w:spacing w:before="120" w:after="0" w:line="312" w:lineRule="auto"/>
        <w:ind w:left="0" w:hanging="357"/>
        <w:rPr>
          <w:rFonts w:cs="Times New Roman"/>
          <w:szCs w:val="28"/>
        </w:rPr>
      </w:pPr>
      <w:r>
        <w:rPr>
          <w:rFonts w:cs="Times New Roman"/>
          <w:szCs w:val="28"/>
        </w:rPr>
        <w:t>https://thoibaotaichinhvietnam.vn/</w:t>
      </w:r>
    </w:p>
    <w:p>
      <w:pPr>
        <w:pStyle w:val="13"/>
        <w:numPr>
          <w:ilvl w:val="3"/>
          <w:numId w:val="4"/>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sz w:val="28"/>
          <w:szCs w:val="28"/>
        </w:rPr>
        <w:t>https://vinanet.vn/kimloai</w:t>
      </w:r>
    </w:p>
    <w:p>
      <w:pPr>
        <w:pStyle w:val="13"/>
        <w:numPr>
          <w:ilvl w:val="3"/>
          <w:numId w:val="4"/>
        </w:numPr>
        <w:shd w:val="clear" w:color="auto" w:fill="FFFFFF"/>
        <w:spacing w:before="120" w:beforeAutospacing="0" w:after="0" w:afterAutospacing="0" w:line="312" w:lineRule="auto"/>
        <w:ind w:left="0" w:hanging="357"/>
        <w:jc w:val="both"/>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https://tapchicongthuong.vn/</w:t>
      </w:r>
    </w:p>
    <w:p>
      <w:pPr>
        <w:pStyle w:val="13"/>
        <w:spacing w:before="0" w:beforeAutospacing="0" w:after="120" w:afterAutospacing="0" w:line="360" w:lineRule="auto"/>
        <w:jc w:val="both"/>
        <w:rPr>
          <w:sz w:val="28"/>
          <w:szCs w:val="28"/>
        </w:rPr>
      </w:pPr>
    </w:p>
    <w:sectPr>
      <w:footerReference r:id="rId5" w:type="default"/>
      <w:pgSz w:w="11907" w:h="16839"/>
      <w:pgMar w:top="1134" w:right="1134" w:bottom="1134" w:left="1701" w:header="567" w:footer="567"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Tahoma">
    <w:panose1 w:val="020B0604030504040204"/>
    <w:charset w:val="00"/>
    <w:family w:val="swiss"/>
    <w:pitch w:val="default"/>
    <w:sig w:usb0="E1002A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4313871"/>
      <w:docPartObj>
        <w:docPartGallery w:val="AutoText"/>
      </w:docPartObj>
    </w:sdtPr>
    <w:sdtContent>
      <w:p>
        <w:pPr>
          <w:pStyle w:val="10"/>
          <w:jc w:val="center"/>
        </w:pPr>
        <w:r>
          <w:fldChar w:fldCharType="begin"/>
        </w:r>
        <w:r>
          <w:instrText xml:space="preserve"> PAGE   \* MERGEFORMAT </w:instrText>
        </w:r>
        <w:r>
          <w:fldChar w:fldCharType="separate"/>
        </w:r>
        <w:r>
          <w:t>9</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784D01"/>
    <w:multiLevelType w:val="multilevel"/>
    <w:tmpl w:val="2F784D0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7CC0E0E"/>
    <w:multiLevelType w:val="multilevel"/>
    <w:tmpl w:val="47CC0E0E"/>
    <w:lvl w:ilvl="0" w:tentative="0">
      <w:start w:val="1"/>
      <w:numFmt w:val="decimal"/>
      <w:lvlText w:val="%1."/>
      <w:lvlJc w:val="left"/>
      <w:pPr>
        <w:tabs>
          <w:tab w:val="left" w:pos="720"/>
        </w:tabs>
        <w:ind w:left="720" w:hanging="360"/>
      </w:pPr>
      <w:rPr>
        <w:rFonts w:hint="default"/>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58481921"/>
    <w:multiLevelType w:val="multilevel"/>
    <w:tmpl w:val="58481921"/>
    <w:lvl w:ilvl="0" w:tentative="0">
      <w:start w:val="0"/>
      <w:numFmt w:val="bullet"/>
      <w:lvlText w:val="-"/>
      <w:lvlJc w:val="left"/>
      <w:pPr>
        <w:ind w:left="1080" w:hanging="360"/>
      </w:pPr>
      <w:rPr>
        <w:rFonts w:hint="default" w:ascii="Arial" w:hAnsi="Arial" w:cs="Arial" w:eastAsiaTheme="majorEastAsia"/>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752027BA"/>
    <w:multiLevelType w:val="multilevel"/>
    <w:tmpl w:val="752027B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hideSpellingErrors/>
  <w:documentProtection w:enforcement="0"/>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BE"/>
    <w:rsid w:val="00003477"/>
    <w:rsid w:val="000041FB"/>
    <w:rsid w:val="000104B0"/>
    <w:rsid w:val="00011A50"/>
    <w:rsid w:val="00042BA6"/>
    <w:rsid w:val="00044E9F"/>
    <w:rsid w:val="00053B1D"/>
    <w:rsid w:val="00067620"/>
    <w:rsid w:val="00080E95"/>
    <w:rsid w:val="000830D7"/>
    <w:rsid w:val="000869BE"/>
    <w:rsid w:val="000A04D7"/>
    <w:rsid w:val="000A394A"/>
    <w:rsid w:val="000B1924"/>
    <w:rsid w:val="000B2806"/>
    <w:rsid w:val="000B6928"/>
    <w:rsid w:val="000C2F04"/>
    <w:rsid w:val="000C3CEE"/>
    <w:rsid w:val="000D2AF1"/>
    <w:rsid w:val="000E3996"/>
    <w:rsid w:val="001016E9"/>
    <w:rsid w:val="00114664"/>
    <w:rsid w:val="001164BC"/>
    <w:rsid w:val="00122196"/>
    <w:rsid w:val="00125795"/>
    <w:rsid w:val="00154223"/>
    <w:rsid w:val="00177B79"/>
    <w:rsid w:val="00182199"/>
    <w:rsid w:val="001A71F0"/>
    <w:rsid w:val="001C6871"/>
    <w:rsid w:val="002167EC"/>
    <w:rsid w:val="002207B4"/>
    <w:rsid w:val="00244DDB"/>
    <w:rsid w:val="00245E1B"/>
    <w:rsid w:val="0026151F"/>
    <w:rsid w:val="00277074"/>
    <w:rsid w:val="00284C33"/>
    <w:rsid w:val="00287FE7"/>
    <w:rsid w:val="002A4159"/>
    <w:rsid w:val="002B4906"/>
    <w:rsid w:val="002B6EC6"/>
    <w:rsid w:val="002B71CF"/>
    <w:rsid w:val="002C0AD6"/>
    <w:rsid w:val="002E1596"/>
    <w:rsid w:val="002F39AC"/>
    <w:rsid w:val="0030032B"/>
    <w:rsid w:val="003013A9"/>
    <w:rsid w:val="003313BE"/>
    <w:rsid w:val="0034616E"/>
    <w:rsid w:val="00375A34"/>
    <w:rsid w:val="00383676"/>
    <w:rsid w:val="003B3DE4"/>
    <w:rsid w:val="003B4880"/>
    <w:rsid w:val="003C2A13"/>
    <w:rsid w:val="0042386A"/>
    <w:rsid w:val="00425759"/>
    <w:rsid w:val="00426A9A"/>
    <w:rsid w:val="004352AE"/>
    <w:rsid w:val="00452E8F"/>
    <w:rsid w:val="004853DF"/>
    <w:rsid w:val="004E1B38"/>
    <w:rsid w:val="005040DA"/>
    <w:rsid w:val="0052034B"/>
    <w:rsid w:val="00532810"/>
    <w:rsid w:val="00535D6E"/>
    <w:rsid w:val="005472D4"/>
    <w:rsid w:val="00557238"/>
    <w:rsid w:val="00570CAD"/>
    <w:rsid w:val="00582417"/>
    <w:rsid w:val="00586DB1"/>
    <w:rsid w:val="005970CA"/>
    <w:rsid w:val="005A2A99"/>
    <w:rsid w:val="005C4B28"/>
    <w:rsid w:val="005E778A"/>
    <w:rsid w:val="005F2F1C"/>
    <w:rsid w:val="0060760A"/>
    <w:rsid w:val="00636C52"/>
    <w:rsid w:val="0065531A"/>
    <w:rsid w:val="00694B58"/>
    <w:rsid w:val="00694D03"/>
    <w:rsid w:val="006977AB"/>
    <w:rsid w:val="006B19DF"/>
    <w:rsid w:val="006B5CB1"/>
    <w:rsid w:val="006E213C"/>
    <w:rsid w:val="00755D55"/>
    <w:rsid w:val="0076670D"/>
    <w:rsid w:val="00767B6B"/>
    <w:rsid w:val="00782DD2"/>
    <w:rsid w:val="00787127"/>
    <w:rsid w:val="0079535F"/>
    <w:rsid w:val="007A6080"/>
    <w:rsid w:val="007B6494"/>
    <w:rsid w:val="007B733D"/>
    <w:rsid w:val="007C37ED"/>
    <w:rsid w:val="007C7794"/>
    <w:rsid w:val="007D3AB1"/>
    <w:rsid w:val="007D7A92"/>
    <w:rsid w:val="008079AF"/>
    <w:rsid w:val="00815751"/>
    <w:rsid w:val="00822A12"/>
    <w:rsid w:val="0086348C"/>
    <w:rsid w:val="00865911"/>
    <w:rsid w:val="00866C38"/>
    <w:rsid w:val="00871A42"/>
    <w:rsid w:val="00871CDE"/>
    <w:rsid w:val="00871D93"/>
    <w:rsid w:val="0088186D"/>
    <w:rsid w:val="00884AA1"/>
    <w:rsid w:val="00885767"/>
    <w:rsid w:val="008A2ABB"/>
    <w:rsid w:val="008B0827"/>
    <w:rsid w:val="008E7278"/>
    <w:rsid w:val="00910A87"/>
    <w:rsid w:val="009161C7"/>
    <w:rsid w:val="00924946"/>
    <w:rsid w:val="00942325"/>
    <w:rsid w:val="00944B2F"/>
    <w:rsid w:val="00961F07"/>
    <w:rsid w:val="00975F0B"/>
    <w:rsid w:val="0099774B"/>
    <w:rsid w:val="009A4E70"/>
    <w:rsid w:val="009C0FEE"/>
    <w:rsid w:val="009C3E52"/>
    <w:rsid w:val="009F316C"/>
    <w:rsid w:val="00A03691"/>
    <w:rsid w:val="00A31956"/>
    <w:rsid w:val="00A60887"/>
    <w:rsid w:val="00A65E0A"/>
    <w:rsid w:val="00A71594"/>
    <w:rsid w:val="00AD5246"/>
    <w:rsid w:val="00AE069F"/>
    <w:rsid w:val="00AE21D1"/>
    <w:rsid w:val="00AF70DE"/>
    <w:rsid w:val="00B23C4F"/>
    <w:rsid w:val="00B31D2C"/>
    <w:rsid w:val="00B33631"/>
    <w:rsid w:val="00B36E2F"/>
    <w:rsid w:val="00B440EE"/>
    <w:rsid w:val="00B54D98"/>
    <w:rsid w:val="00B60108"/>
    <w:rsid w:val="00B62F1C"/>
    <w:rsid w:val="00B739EA"/>
    <w:rsid w:val="00B938DC"/>
    <w:rsid w:val="00BA309B"/>
    <w:rsid w:val="00BC72AD"/>
    <w:rsid w:val="00BD477C"/>
    <w:rsid w:val="00C20820"/>
    <w:rsid w:val="00C377C7"/>
    <w:rsid w:val="00C3793D"/>
    <w:rsid w:val="00C45949"/>
    <w:rsid w:val="00C875A5"/>
    <w:rsid w:val="00C93FBE"/>
    <w:rsid w:val="00CB08BB"/>
    <w:rsid w:val="00CC5187"/>
    <w:rsid w:val="00CD6C14"/>
    <w:rsid w:val="00CE1D25"/>
    <w:rsid w:val="00CF2DE3"/>
    <w:rsid w:val="00CF52EE"/>
    <w:rsid w:val="00D0310F"/>
    <w:rsid w:val="00D12544"/>
    <w:rsid w:val="00D1531B"/>
    <w:rsid w:val="00D33698"/>
    <w:rsid w:val="00D512EB"/>
    <w:rsid w:val="00D54D7F"/>
    <w:rsid w:val="00D92784"/>
    <w:rsid w:val="00DA10E0"/>
    <w:rsid w:val="00DA3F03"/>
    <w:rsid w:val="00DC75BF"/>
    <w:rsid w:val="00DF379A"/>
    <w:rsid w:val="00E02444"/>
    <w:rsid w:val="00E05C63"/>
    <w:rsid w:val="00E06ADD"/>
    <w:rsid w:val="00E323EC"/>
    <w:rsid w:val="00E41005"/>
    <w:rsid w:val="00E42CE7"/>
    <w:rsid w:val="00E5793B"/>
    <w:rsid w:val="00EA0B7B"/>
    <w:rsid w:val="00EA32E4"/>
    <w:rsid w:val="00EC4FDA"/>
    <w:rsid w:val="00ED1AD9"/>
    <w:rsid w:val="00EE5F78"/>
    <w:rsid w:val="00F0451E"/>
    <w:rsid w:val="00F20049"/>
    <w:rsid w:val="00F206E6"/>
    <w:rsid w:val="00F34182"/>
    <w:rsid w:val="00F55735"/>
    <w:rsid w:val="00F608FB"/>
    <w:rsid w:val="00F65AB1"/>
    <w:rsid w:val="00FB34C7"/>
    <w:rsid w:val="00FB470F"/>
    <w:rsid w:val="00FC5CF1"/>
    <w:rsid w:val="00FC78EF"/>
    <w:rsid w:val="00FD0D9E"/>
    <w:rsid w:val="00FD2314"/>
    <w:rsid w:val="00FD3AEC"/>
    <w:rsid w:val="41717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Theme="minorHAnsi" w:cstheme="minorBidi"/>
      <w:sz w:val="28"/>
      <w:szCs w:val="22"/>
      <w:lang w:val="en-US" w:eastAsia="en-US" w:bidi="ar-SA"/>
    </w:rPr>
  </w:style>
  <w:style w:type="paragraph" w:styleId="2">
    <w:name w:val="heading 1"/>
    <w:basedOn w:val="1"/>
    <w:next w:val="1"/>
    <w:link w:val="17"/>
    <w:qFormat/>
    <w:uiPriority w:val="9"/>
    <w:pPr>
      <w:spacing w:before="100" w:beforeAutospacing="1" w:after="100" w:afterAutospacing="1" w:line="240" w:lineRule="auto"/>
      <w:outlineLvl w:val="0"/>
    </w:pPr>
    <w:rPr>
      <w:rFonts w:eastAsia="Times New Roman" w:cs="Times New Roman"/>
      <w:b/>
      <w:bCs/>
      <w:kern w:val="36"/>
      <w:sz w:val="48"/>
      <w:szCs w:val="48"/>
    </w:rPr>
  </w:style>
  <w:style w:type="paragraph" w:styleId="3">
    <w:name w:val="heading 2"/>
    <w:basedOn w:val="1"/>
    <w:next w:val="1"/>
    <w:link w:val="18"/>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19"/>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20"/>
    <w:semiHidden/>
    <w:unhideWhenUsed/>
    <w:uiPriority w:val="99"/>
    <w:pPr>
      <w:spacing w:after="0" w:line="240" w:lineRule="auto"/>
    </w:pPr>
    <w:rPr>
      <w:rFonts w:ascii="Tahoma" w:hAnsi="Tahoma" w:cs="Tahoma"/>
      <w:sz w:val="16"/>
      <w:szCs w:val="16"/>
    </w:rPr>
  </w:style>
  <w:style w:type="paragraph" w:styleId="8">
    <w:name w:val="caption"/>
    <w:basedOn w:val="1"/>
    <w:next w:val="1"/>
    <w:unhideWhenUsed/>
    <w:qFormat/>
    <w:uiPriority w:val="0"/>
    <w:pPr>
      <w:spacing w:before="60" w:after="60" w:line="288" w:lineRule="auto"/>
      <w:jc w:val="center"/>
    </w:pPr>
    <w:rPr>
      <w:rFonts w:eastAsia="Times New Roman" w:cs="Times New Roman"/>
      <w:b/>
      <w:bCs/>
      <w:sz w:val="24"/>
      <w:szCs w:val="18"/>
    </w:rPr>
  </w:style>
  <w:style w:type="character" w:styleId="9">
    <w:name w:val="Emphasis"/>
    <w:basedOn w:val="5"/>
    <w:qFormat/>
    <w:uiPriority w:val="20"/>
    <w:rPr>
      <w:i/>
      <w:iCs/>
    </w:rPr>
  </w:style>
  <w:style w:type="paragraph" w:styleId="10">
    <w:name w:val="footer"/>
    <w:basedOn w:val="1"/>
    <w:link w:val="26"/>
    <w:unhideWhenUsed/>
    <w:uiPriority w:val="99"/>
    <w:pPr>
      <w:tabs>
        <w:tab w:val="center" w:pos="4680"/>
        <w:tab w:val="right" w:pos="9360"/>
      </w:tabs>
      <w:spacing w:after="0" w:line="240" w:lineRule="auto"/>
    </w:pPr>
  </w:style>
  <w:style w:type="paragraph" w:styleId="11">
    <w:name w:val="header"/>
    <w:basedOn w:val="1"/>
    <w:link w:val="25"/>
    <w:unhideWhenUsed/>
    <w:uiPriority w:val="99"/>
    <w:pPr>
      <w:tabs>
        <w:tab w:val="center" w:pos="4680"/>
        <w:tab w:val="right" w:pos="9360"/>
      </w:tabs>
      <w:spacing w:after="0" w:line="240" w:lineRule="auto"/>
    </w:pPr>
  </w:style>
  <w:style w:type="character" w:styleId="12">
    <w:name w:val="Hyperlink"/>
    <w:basedOn w:val="5"/>
    <w:unhideWhenUsed/>
    <w:uiPriority w:val="99"/>
    <w:rPr>
      <w:color w:val="0000FF"/>
      <w:u w:val="single"/>
    </w:rPr>
  </w:style>
  <w:style w:type="paragraph" w:styleId="13">
    <w:name w:val="Normal (Web)"/>
    <w:basedOn w:val="1"/>
    <w:unhideWhenUsed/>
    <w:uiPriority w:val="99"/>
    <w:pPr>
      <w:spacing w:before="100" w:beforeAutospacing="1" w:after="100" w:afterAutospacing="1" w:line="240" w:lineRule="auto"/>
    </w:pPr>
    <w:rPr>
      <w:rFonts w:eastAsia="Times New Roman" w:cs="Times New Roman"/>
      <w:sz w:val="24"/>
      <w:szCs w:val="24"/>
    </w:rPr>
  </w:style>
  <w:style w:type="character" w:styleId="14">
    <w:name w:val="Strong"/>
    <w:basedOn w:val="5"/>
    <w:qFormat/>
    <w:uiPriority w:val="22"/>
    <w:rPr>
      <w:b/>
      <w:bCs/>
    </w:rPr>
  </w:style>
  <w:style w:type="table" w:styleId="15">
    <w:name w:val="Table Grid"/>
    <w:basedOn w:val="6"/>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oc 3"/>
    <w:basedOn w:val="1"/>
    <w:next w:val="1"/>
    <w:unhideWhenUsed/>
    <w:uiPriority w:val="39"/>
    <w:pPr>
      <w:spacing w:after="100"/>
      <w:ind w:left="560"/>
      <w:jc w:val="both"/>
    </w:pPr>
    <w:rPr>
      <w:i/>
      <w:lang w:eastAsia="zh-CN"/>
    </w:rPr>
  </w:style>
  <w:style w:type="character" w:customStyle="1" w:styleId="17">
    <w:name w:val="Heading 1 Char"/>
    <w:basedOn w:val="5"/>
    <w:link w:val="2"/>
    <w:uiPriority w:val="9"/>
    <w:rPr>
      <w:rFonts w:eastAsia="Times New Roman" w:cs="Times New Roman"/>
      <w:b/>
      <w:bCs/>
      <w:kern w:val="36"/>
      <w:sz w:val="48"/>
      <w:szCs w:val="48"/>
    </w:rPr>
  </w:style>
  <w:style w:type="character" w:customStyle="1" w:styleId="18">
    <w:name w:val="Heading 2 Char"/>
    <w:basedOn w:val="5"/>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5"/>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Balloon Text Char"/>
    <w:basedOn w:val="5"/>
    <w:link w:val="7"/>
    <w:semiHidden/>
    <w:uiPriority w:val="99"/>
    <w:rPr>
      <w:rFonts w:ascii="Tahoma" w:hAnsi="Tahoma" w:cs="Tahoma"/>
      <w:sz w:val="16"/>
      <w:szCs w:val="16"/>
    </w:rPr>
  </w:style>
  <w:style w:type="character" w:customStyle="1" w:styleId="21">
    <w:name w:val="mw-headline"/>
    <w:basedOn w:val="5"/>
    <w:uiPriority w:val="0"/>
  </w:style>
  <w:style w:type="character" w:customStyle="1" w:styleId="22">
    <w:name w:val="mw-editsection"/>
    <w:basedOn w:val="5"/>
    <w:uiPriority w:val="0"/>
  </w:style>
  <w:style w:type="character" w:customStyle="1" w:styleId="23">
    <w:name w:val="mw-editsection-bracket"/>
    <w:basedOn w:val="5"/>
    <w:uiPriority w:val="0"/>
  </w:style>
  <w:style w:type="character" w:customStyle="1" w:styleId="24">
    <w:name w:val="mw-editsection-divider"/>
    <w:basedOn w:val="5"/>
    <w:uiPriority w:val="0"/>
  </w:style>
  <w:style w:type="character" w:customStyle="1" w:styleId="25">
    <w:name w:val="Header Char"/>
    <w:basedOn w:val="5"/>
    <w:link w:val="11"/>
    <w:uiPriority w:val="99"/>
  </w:style>
  <w:style w:type="character" w:customStyle="1" w:styleId="26">
    <w:name w:val="Footer Char"/>
    <w:basedOn w:val="5"/>
    <w:link w:val="10"/>
    <w:uiPriority w:val="99"/>
  </w:style>
  <w:style w:type="paragraph" w:styleId="27">
    <w:name w:val="List Paragraph"/>
    <w:basedOn w:val="1"/>
    <w:qFormat/>
    <w:uiPriority w:val="34"/>
    <w:pPr>
      <w:ind w:left="720"/>
      <w:contextualSpacing/>
    </w:pPr>
  </w:style>
  <w:style w:type="paragraph" w:customStyle="1" w:styleId="28">
    <w:name w:val="Muc I.1.1"/>
    <w:basedOn w:val="4"/>
    <w:next w:val="16"/>
    <w:link w:val="29"/>
    <w:qFormat/>
    <w:uiPriority w:val="0"/>
    <w:pPr>
      <w:spacing w:before="120" w:line="360" w:lineRule="auto"/>
      <w:ind w:firstLine="720"/>
      <w:contextualSpacing/>
      <w:jc w:val="both"/>
    </w:pPr>
    <w:rPr>
      <w:rFonts w:ascii="Times New Roman" w:hAnsi="Times New Roman" w:eastAsia="Times New Roman" w:cs="Times New Roman"/>
      <w:i/>
      <w:color w:val="auto"/>
      <w:szCs w:val="28"/>
      <w:lang w:val="zh-CN" w:eastAsia="zh-CN"/>
    </w:rPr>
  </w:style>
  <w:style w:type="character" w:customStyle="1" w:styleId="29">
    <w:name w:val="Muc I.1.1 Char"/>
    <w:link w:val="28"/>
    <w:uiPriority w:val="0"/>
    <w:rPr>
      <w:rFonts w:eastAsia="Times New Roman" w:cs="Times New Roman"/>
      <w:b/>
      <w:bCs/>
      <w:i/>
      <w:szCs w:val="28"/>
      <w:lang w:val="zh-CN" w:eastAsia="zh-CN"/>
    </w:rPr>
  </w:style>
  <w:style w:type="paragraph" w:customStyle="1" w:styleId="30">
    <w:name w:val="Text_Bang"/>
    <w:basedOn w:val="1"/>
    <w:link w:val="31"/>
    <w:qFormat/>
    <w:uiPriority w:val="0"/>
    <w:pPr>
      <w:tabs>
        <w:tab w:val="left" w:pos="8160"/>
      </w:tabs>
      <w:spacing w:before="60" w:after="0" w:line="240" w:lineRule="auto"/>
      <w:jc w:val="center"/>
    </w:pPr>
    <w:rPr>
      <w:rFonts w:eastAsia="Calibri" w:cs="Times New Roman"/>
      <w:sz w:val="26"/>
      <w:szCs w:val="28"/>
    </w:rPr>
  </w:style>
  <w:style w:type="character" w:customStyle="1" w:styleId="31">
    <w:name w:val="Text_Bang Char"/>
    <w:link w:val="30"/>
    <w:uiPriority w:val="0"/>
    <w:rPr>
      <w:rFonts w:eastAsia="Calibri" w:cs="Times New Roman"/>
      <w:sz w:val="26"/>
      <w:szCs w:val="28"/>
    </w:rPr>
  </w:style>
  <w:style w:type="paragraph" w:styleId="32">
    <w:name w:val="No Spacing"/>
    <w:qFormat/>
    <w:uiPriority w:val="1"/>
    <w:pPr>
      <w:spacing w:before="120" w:after="120" w:line="312" w:lineRule="auto"/>
      <w:ind w:firstLine="720"/>
      <w:jc w:val="both"/>
    </w:pPr>
    <w:rPr>
      <w:rFonts w:ascii="Times New Roman" w:hAnsi="Times New Roman" w:eastAsia="Times New Roman" w:cs="Times New Roman"/>
      <w:sz w:val="28"/>
      <w:szCs w:val="24"/>
      <w:lang w:val="en-US" w:eastAsia="en-US" w:bidi="ar-SA"/>
    </w:rPr>
  </w:style>
  <w:style w:type="paragraph" w:customStyle="1" w:styleId="33">
    <w:name w:val="t-j"/>
    <w:basedOn w:val="1"/>
    <w:uiPriority w:val="0"/>
    <w:pPr>
      <w:spacing w:before="100" w:beforeAutospacing="1" w:after="100" w:afterAutospacing="1" w:line="240" w:lineRule="auto"/>
    </w:pPr>
    <w:rPr>
      <w:rFonts w:eastAsia="Times New Roman" w:cs="Times New Roman"/>
      <w:sz w:val="24"/>
      <w:szCs w:val="24"/>
    </w:rPr>
  </w:style>
  <w:style w:type="paragraph" w:customStyle="1" w:styleId="34">
    <w:name w:val="paywall"/>
    <w:basedOn w:val="1"/>
    <w:uiPriority w:val="0"/>
    <w:pPr>
      <w:spacing w:before="100" w:beforeAutospacing="1" w:after="100" w:afterAutospacing="1" w:line="240" w:lineRule="auto"/>
    </w:pPr>
    <w:rPr>
      <w:rFonts w:eastAsia="Times New Roman" w:cs="Times New Roman"/>
      <w:sz w:val="24"/>
      <w:szCs w:val="24"/>
    </w:rPr>
  </w:style>
  <w:style w:type="character" w:customStyle="1" w:styleId="35">
    <w:name w:val="item_parent"/>
    <w:basedOn w:val="5"/>
    <w:uiPriority w:val="0"/>
  </w:style>
  <w:style w:type="paragraph" w:customStyle="1" w:styleId="36">
    <w:name w:val="roboto-c"/>
    <w:basedOn w:val="1"/>
    <w:uiPriority w:val="0"/>
    <w:pPr>
      <w:spacing w:before="100" w:beforeAutospacing="1" w:after="100" w:afterAutospacing="1" w:line="240" w:lineRule="auto"/>
    </w:pPr>
    <w:rPr>
      <w:rFonts w:eastAsia="Times New Roman" w:cs="Times New Roman"/>
      <w:sz w:val="24"/>
      <w:szCs w:val="24"/>
    </w:rPr>
  </w:style>
  <w:style w:type="character" w:customStyle="1" w:styleId="37">
    <w:name w:val="left"/>
    <w:basedOn w:val="5"/>
    <w:uiPriority w:val="0"/>
  </w:style>
  <w:style w:type="character" w:customStyle="1" w:styleId="38">
    <w:name w:val="sp_arrow"/>
    <w:basedOn w:val="5"/>
    <w:uiPriority w:val="0"/>
  </w:style>
  <w:style w:type="character" w:customStyle="1" w:styleId="39">
    <w:name w:val="roboto-light"/>
    <w:basedOn w:val="5"/>
    <w:uiPriority w:val="0"/>
  </w:style>
  <w:style w:type="character" w:customStyle="1" w:styleId="40">
    <w:name w:val="a2a_label"/>
    <w:basedOn w:val="5"/>
    <w:uiPriority w:val="0"/>
  </w:style>
  <w:style w:type="paragraph" w:customStyle="1" w:styleId="41">
    <w:name w:val="p_hide"/>
    <w:basedOn w:val="1"/>
    <w:uiPriority w:val="0"/>
    <w:pPr>
      <w:spacing w:before="100" w:beforeAutospacing="1" w:after="100" w:afterAutospacing="1" w:line="240" w:lineRule="auto"/>
    </w:pPr>
    <w:rPr>
      <w:rFonts w:eastAsia="Times New Roman"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minhtuan6990@gmail.com</Company>
  <Pages>1</Pages>
  <Words>1360</Words>
  <Characters>7753</Characters>
  <Lines>64</Lines>
  <Paragraphs>18</Paragraphs>
  <TotalTime>533</TotalTime>
  <ScaleCrop>false</ScaleCrop>
  <LinksUpToDate>false</LinksUpToDate>
  <CharactersWithSpaces>9095</CharactersWithSpaces>
  <Application>WPS Office_11.2.0.11513_F1E327BC-269C-435d-A152-05C5408002CA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2022-02-21T04:00:00Z</dcterms:created>
  <dc:creator>TRAN MINH TUAN</dc:creator>
  <cp:lastModifiedBy>Admin</cp:lastModifiedBy>
  <dcterms:modified xsi:type="dcterms:W3CDTF">2023-03-28T03:09:05Z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15FA5A96D9FA4D3A82BAB0A4BB673E32</vt:lpwstr>
  </property>
</Properties>
</file>